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73"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5"/>
        <w:gridCol w:w="5823"/>
        <w:gridCol w:w="2425"/>
      </w:tblGrid>
      <w:tr w:rsidR="00CB13B9" w14:paraId="1A7109CC" w14:textId="77777777" w:rsidTr="004B3B7B">
        <w:trPr>
          <w:trHeight w:val="2447"/>
        </w:trPr>
        <w:tc>
          <w:tcPr>
            <w:tcW w:w="2425" w:type="dxa"/>
          </w:tcPr>
          <w:p w14:paraId="3E5E63C3" w14:textId="77777777" w:rsidR="00617057" w:rsidRDefault="00617057" w:rsidP="00346E00">
            <w:pPr>
              <w:jc w:val="center"/>
              <w:rPr>
                <w:b/>
                <w:sz w:val="16"/>
                <w:szCs w:val="16"/>
              </w:rPr>
            </w:pPr>
            <w:r w:rsidRPr="00617057">
              <w:rPr>
                <w:b/>
                <w:sz w:val="16"/>
                <w:szCs w:val="16"/>
              </w:rPr>
              <w:t>Jeffery C. Allen</w:t>
            </w:r>
          </w:p>
          <w:p w14:paraId="462604A9" w14:textId="77777777" w:rsidR="00CB13B9" w:rsidRDefault="00CB13B9" w:rsidP="00346E00">
            <w:pPr>
              <w:jc w:val="center"/>
              <w:rPr>
                <w:b/>
                <w:sz w:val="16"/>
                <w:szCs w:val="16"/>
              </w:rPr>
            </w:pPr>
            <w:r>
              <w:rPr>
                <w:b/>
                <w:sz w:val="16"/>
                <w:szCs w:val="16"/>
              </w:rPr>
              <w:t>Chair</w:t>
            </w:r>
          </w:p>
          <w:p w14:paraId="3B8D928C" w14:textId="77777777" w:rsidR="00CB13B9" w:rsidRDefault="008932D2" w:rsidP="00346E00">
            <w:pPr>
              <w:jc w:val="center"/>
              <w:rPr>
                <w:sz w:val="16"/>
                <w:szCs w:val="16"/>
              </w:rPr>
            </w:pPr>
            <w:r>
              <w:rPr>
                <w:sz w:val="16"/>
                <w:szCs w:val="16"/>
              </w:rPr>
              <w:t>Idaho</w:t>
            </w:r>
          </w:p>
          <w:p w14:paraId="413BE5D1" w14:textId="77777777" w:rsidR="00CB13B9" w:rsidRDefault="00CB13B9" w:rsidP="0009637A">
            <w:pPr>
              <w:rPr>
                <w:sz w:val="16"/>
                <w:szCs w:val="16"/>
              </w:rPr>
            </w:pPr>
          </w:p>
          <w:p w14:paraId="31EC5E6A" w14:textId="77777777" w:rsidR="005E3B57" w:rsidRPr="005E3B57" w:rsidRDefault="005E3B57" w:rsidP="0099524B">
            <w:pPr>
              <w:jc w:val="center"/>
              <w:rPr>
                <w:b/>
                <w:bCs/>
                <w:sz w:val="16"/>
                <w:szCs w:val="16"/>
              </w:rPr>
            </w:pPr>
            <w:r w:rsidRPr="005E3B57">
              <w:rPr>
                <w:b/>
                <w:bCs/>
                <w:sz w:val="16"/>
                <w:szCs w:val="16"/>
              </w:rPr>
              <w:t>Ed Schriever</w:t>
            </w:r>
          </w:p>
          <w:p w14:paraId="53EEDA07" w14:textId="77777777" w:rsidR="0009637A" w:rsidRPr="005E3B57" w:rsidRDefault="00062F60" w:rsidP="0099524B">
            <w:pPr>
              <w:jc w:val="center"/>
              <w:rPr>
                <w:sz w:val="16"/>
                <w:szCs w:val="16"/>
              </w:rPr>
            </w:pPr>
            <w:r w:rsidRPr="005E3B57">
              <w:rPr>
                <w:sz w:val="16"/>
                <w:szCs w:val="16"/>
              </w:rPr>
              <w:t>Idaho</w:t>
            </w:r>
          </w:p>
          <w:p w14:paraId="0D2F305D" w14:textId="77777777" w:rsidR="00062F60" w:rsidRDefault="00062F60" w:rsidP="0099524B">
            <w:pPr>
              <w:jc w:val="center"/>
              <w:rPr>
                <w:b/>
                <w:sz w:val="16"/>
                <w:szCs w:val="16"/>
              </w:rPr>
            </w:pPr>
          </w:p>
          <w:p w14:paraId="665F0FE3" w14:textId="77777777" w:rsidR="00CB13B9" w:rsidRDefault="008932D2" w:rsidP="0099524B">
            <w:pPr>
              <w:jc w:val="center"/>
              <w:rPr>
                <w:b/>
                <w:sz w:val="16"/>
                <w:szCs w:val="16"/>
              </w:rPr>
            </w:pPr>
            <w:r>
              <w:rPr>
                <w:b/>
                <w:sz w:val="16"/>
                <w:szCs w:val="16"/>
              </w:rPr>
              <w:t>Doug Grob</w:t>
            </w:r>
          </w:p>
          <w:p w14:paraId="67F168D4" w14:textId="77777777" w:rsidR="00CB13B9" w:rsidRDefault="008932D2" w:rsidP="0099524B">
            <w:pPr>
              <w:jc w:val="center"/>
              <w:rPr>
                <w:sz w:val="16"/>
                <w:szCs w:val="16"/>
              </w:rPr>
            </w:pPr>
            <w:r>
              <w:rPr>
                <w:sz w:val="16"/>
                <w:szCs w:val="16"/>
              </w:rPr>
              <w:t>Montana</w:t>
            </w:r>
          </w:p>
          <w:p w14:paraId="334F8667" w14:textId="77777777" w:rsidR="0009637A" w:rsidRDefault="0009637A" w:rsidP="0099524B">
            <w:pPr>
              <w:jc w:val="center"/>
              <w:rPr>
                <w:b/>
                <w:sz w:val="16"/>
                <w:szCs w:val="16"/>
              </w:rPr>
            </w:pPr>
          </w:p>
          <w:p w14:paraId="0CE3DACA" w14:textId="77777777" w:rsidR="00CB13B9" w:rsidRDefault="008932D2" w:rsidP="0099524B">
            <w:pPr>
              <w:jc w:val="center"/>
              <w:rPr>
                <w:b/>
                <w:sz w:val="16"/>
                <w:szCs w:val="16"/>
              </w:rPr>
            </w:pPr>
            <w:r>
              <w:rPr>
                <w:b/>
                <w:sz w:val="16"/>
                <w:szCs w:val="16"/>
              </w:rPr>
              <w:t>Mike Milburn</w:t>
            </w:r>
          </w:p>
          <w:p w14:paraId="56163B3E" w14:textId="51EECB08" w:rsidR="00CB13B9" w:rsidRDefault="008932D2" w:rsidP="00346E00">
            <w:pPr>
              <w:jc w:val="center"/>
              <w:rPr>
                <w:sz w:val="16"/>
                <w:szCs w:val="16"/>
              </w:rPr>
            </w:pPr>
            <w:r>
              <w:rPr>
                <w:sz w:val="16"/>
                <w:szCs w:val="16"/>
              </w:rPr>
              <w:t>Montana</w:t>
            </w:r>
          </w:p>
        </w:tc>
        <w:tc>
          <w:tcPr>
            <w:tcW w:w="5823" w:type="dxa"/>
            <w:hideMark/>
          </w:tcPr>
          <w:p w14:paraId="2DEB92D7" w14:textId="77777777" w:rsidR="00CB13B9" w:rsidRDefault="00CB13B9" w:rsidP="00346E00">
            <w:pPr>
              <w:jc w:val="center"/>
              <w:rPr>
                <w:sz w:val="16"/>
                <w:szCs w:val="16"/>
              </w:rPr>
            </w:pPr>
            <w:r>
              <w:rPr>
                <w:noProof/>
              </w:rPr>
              <w:drawing>
                <wp:anchor distT="0" distB="0" distL="114300" distR="114300" simplePos="0" relativeHeight="251659264" behindDoc="0" locked="0" layoutInCell="1" allowOverlap="1" wp14:anchorId="68442756" wp14:editId="19A60E13">
                  <wp:simplePos x="0" y="0"/>
                  <wp:positionH relativeFrom="column">
                    <wp:posOffset>555873</wp:posOffset>
                  </wp:positionH>
                  <wp:positionV relativeFrom="paragraph">
                    <wp:posOffset>13915</wp:posOffset>
                  </wp:positionV>
                  <wp:extent cx="2343689" cy="1256030"/>
                  <wp:effectExtent l="0" t="0" r="0" b="0"/>
                  <wp:wrapNone/>
                  <wp:docPr id="6" name="Picture 6" descr="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6143" cy="1262704"/>
                          </a:xfrm>
                          <a:prstGeom prst="rect">
                            <a:avLst/>
                          </a:prstGeom>
                          <a:noFill/>
                        </pic:spPr>
                      </pic:pic>
                    </a:graphicData>
                  </a:graphic>
                  <wp14:sizeRelH relativeFrom="page">
                    <wp14:pctWidth>0</wp14:pctWidth>
                  </wp14:sizeRelH>
                  <wp14:sizeRelV relativeFrom="page">
                    <wp14:pctHeight>0</wp14:pctHeight>
                  </wp14:sizeRelV>
                </wp:anchor>
              </w:drawing>
            </w:r>
          </w:p>
        </w:tc>
        <w:tc>
          <w:tcPr>
            <w:tcW w:w="2425" w:type="dxa"/>
          </w:tcPr>
          <w:p w14:paraId="416D095D" w14:textId="77777777" w:rsidR="00CB13B9" w:rsidRDefault="008932D2" w:rsidP="00346E00">
            <w:pPr>
              <w:jc w:val="center"/>
              <w:rPr>
                <w:b/>
                <w:sz w:val="16"/>
                <w:szCs w:val="16"/>
              </w:rPr>
            </w:pPr>
            <w:r>
              <w:rPr>
                <w:b/>
                <w:sz w:val="16"/>
                <w:szCs w:val="16"/>
              </w:rPr>
              <w:t>KC Golden</w:t>
            </w:r>
          </w:p>
          <w:p w14:paraId="0F0D04A9" w14:textId="77777777" w:rsidR="00CB13B9" w:rsidRDefault="00CB13B9" w:rsidP="00346E00">
            <w:pPr>
              <w:jc w:val="center"/>
              <w:rPr>
                <w:b/>
                <w:sz w:val="16"/>
                <w:szCs w:val="16"/>
              </w:rPr>
            </w:pPr>
            <w:r>
              <w:rPr>
                <w:b/>
                <w:sz w:val="16"/>
                <w:szCs w:val="16"/>
              </w:rPr>
              <w:t>Vice Chair</w:t>
            </w:r>
          </w:p>
          <w:p w14:paraId="01789300" w14:textId="77777777" w:rsidR="00CB13B9" w:rsidRDefault="008932D2" w:rsidP="00346E00">
            <w:pPr>
              <w:jc w:val="center"/>
              <w:rPr>
                <w:sz w:val="16"/>
                <w:szCs w:val="16"/>
              </w:rPr>
            </w:pPr>
            <w:r>
              <w:rPr>
                <w:sz w:val="16"/>
                <w:szCs w:val="16"/>
              </w:rPr>
              <w:t>Washington</w:t>
            </w:r>
          </w:p>
          <w:p w14:paraId="09AC250B" w14:textId="77777777" w:rsidR="00CB13B9" w:rsidRDefault="00CB13B9" w:rsidP="00346E00">
            <w:pPr>
              <w:jc w:val="center"/>
              <w:rPr>
                <w:sz w:val="16"/>
                <w:szCs w:val="16"/>
              </w:rPr>
            </w:pPr>
          </w:p>
          <w:p w14:paraId="2C15D9C3" w14:textId="77777777" w:rsidR="005E3B57" w:rsidRPr="00590957" w:rsidRDefault="00590957" w:rsidP="00590957">
            <w:pPr>
              <w:jc w:val="center"/>
              <w:rPr>
                <w:rFonts w:eastAsiaTheme="minorEastAsia"/>
                <w:b/>
                <w:bCs/>
                <w:sz w:val="16"/>
                <w:szCs w:val="16"/>
              </w:rPr>
            </w:pPr>
            <w:r>
              <w:rPr>
                <w:b/>
                <w:bCs/>
                <w:sz w:val="16"/>
                <w:szCs w:val="16"/>
              </w:rPr>
              <w:t>Thomas L (Les) Purce</w:t>
            </w:r>
          </w:p>
          <w:p w14:paraId="5D4FC6BF" w14:textId="77777777" w:rsidR="00062F60" w:rsidRPr="005E3B57" w:rsidRDefault="00062F60" w:rsidP="00346E00">
            <w:pPr>
              <w:jc w:val="center"/>
              <w:rPr>
                <w:sz w:val="16"/>
                <w:szCs w:val="16"/>
              </w:rPr>
            </w:pPr>
            <w:r w:rsidRPr="005E3B57">
              <w:rPr>
                <w:sz w:val="16"/>
                <w:szCs w:val="16"/>
              </w:rPr>
              <w:t>Washington</w:t>
            </w:r>
          </w:p>
          <w:p w14:paraId="588878B8" w14:textId="77777777" w:rsidR="00CB13B9" w:rsidRDefault="00CB13B9" w:rsidP="00346E00">
            <w:pPr>
              <w:jc w:val="center"/>
              <w:rPr>
                <w:b/>
                <w:sz w:val="16"/>
                <w:szCs w:val="16"/>
              </w:rPr>
            </w:pPr>
          </w:p>
          <w:p w14:paraId="068C1F96" w14:textId="77777777" w:rsidR="00CB13B9" w:rsidRDefault="00CB13B9" w:rsidP="0099524B">
            <w:pPr>
              <w:jc w:val="center"/>
              <w:rPr>
                <w:b/>
                <w:bCs/>
                <w:sz w:val="16"/>
                <w:szCs w:val="16"/>
              </w:rPr>
            </w:pPr>
            <w:r>
              <w:rPr>
                <w:b/>
                <w:bCs/>
                <w:sz w:val="16"/>
                <w:szCs w:val="16"/>
              </w:rPr>
              <w:t>Ginny Burdick</w:t>
            </w:r>
          </w:p>
          <w:p w14:paraId="48A470D1" w14:textId="77777777" w:rsidR="00CB13B9" w:rsidRDefault="00CB13B9" w:rsidP="0099524B">
            <w:pPr>
              <w:jc w:val="center"/>
              <w:rPr>
                <w:b/>
                <w:sz w:val="16"/>
                <w:szCs w:val="16"/>
              </w:rPr>
            </w:pPr>
            <w:r>
              <w:rPr>
                <w:sz w:val="16"/>
                <w:szCs w:val="16"/>
              </w:rPr>
              <w:t>Oregon</w:t>
            </w:r>
            <w:r>
              <w:rPr>
                <w:b/>
                <w:sz w:val="16"/>
                <w:szCs w:val="16"/>
              </w:rPr>
              <w:t xml:space="preserve"> </w:t>
            </w:r>
          </w:p>
          <w:p w14:paraId="6788EC06" w14:textId="77777777" w:rsidR="004B3B7B" w:rsidRDefault="004B3B7B" w:rsidP="0099524B">
            <w:pPr>
              <w:jc w:val="center"/>
              <w:rPr>
                <w:b/>
                <w:sz w:val="16"/>
                <w:szCs w:val="16"/>
              </w:rPr>
            </w:pPr>
          </w:p>
          <w:p w14:paraId="0AD383D1" w14:textId="77777777" w:rsidR="004B3B7B" w:rsidRDefault="004B3B7B" w:rsidP="0099524B">
            <w:pPr>
              <w:jc w:val="center"/>
              <w:rPr>
                <w:b/>
                <w:sz w:val="16"/>
                <w:szCs w:val="16"/>
              </w:rPr>
            </w:pPr>
            <w:r>
              <w:rPr>
                <w:b/>
                <w:sz w:val="16"/>
                <w:szCs w:val="16"/>
              </w:rPr>
              <w:t>Louie Pitt, Jr.</w:t>
            </w:r>
          </w:p>
          <w:p w14:paraId="3A5CF007" w14:textId="5D5CF34D" w:rsidR="00CB13B9" w:rsidRPr="0062655F" w:rsidRDefault="004B3B7B" w:rsidP="00346E00">
            <w:pPr>
              <w:jc w:val="center"/>
              <w:rPr>
                <w:bCs/>
                <w:sz w:val="16"/>
                <w:szCs w:val="16"/>
              </w:rPr>
            </w:pPr>
            <w:r w:rsidRPr="004B3B7B">
              <w:rPr>
                <w:bCs/>
                <w:sz w:val="16"/>
                <w:szCs w:val="16"/>
              </w:rPr>
              <w:t>Oregon</w:t>
            </w:r>
          </w:p>
        </w:tc>
      </w:tr>
    </w:tbl>
    <w:p w14:paraId="07F519B8" w14:textId="77777777" w:rsidR="00E06B1B" w:rsidRPr="00E06B1B" w:rsidRDefault="00E06B1B" w:rsidP="00E06B1B"/>
    <w:p w14:paraId="10684719" w14:textId="60E85998" w:rsidR="00C41913" w:rsidRPr="00E06B1B" w:rsidRDefault="00E06B1B" w:rsidP="00E06B1B">
      <w:pPr>
        <w:jc w:val="center"/>
        <w:rPr>
          <w:b/>
          <w:bCs/>
          <w:sz w:val="28"/>
          <w:szCs w:val="28"/>
        </w:rPr>
      </w:pPr>
      <w:r w:rsidRPr="00E06B1B">
        <w:rPr>
          <w:b/>
          <w:bCs/>
          <w:sz w:val="28"/>
          <w:szCs w:val="28"/>
        </w:rPr>
        <w:t>Spokane County Bar</w:t>
      </w:r>
      <w:r w:rsidR="00C41913" w:rsidRPr="00E06B1B">
        <w:rPr>
          <w:b/>
          <w:bCs/>
          <w:sz w:val="28"/>
          <w:szCs w:val="28"/>
        </w:rPr>
        <w:t xml:space="preserve"> Association</w:t>
      </w:r>
    </w:p>
    <w:p w14:paraId="0B7C3937" w14:textId="77777777" w:rsidR="00C41913" w:rsidRPr="00E06B1B" w:rsidRDefault="00C41913" w:rsidP="00E06B1B">
      <w:pPr>
        <w:jc w:val="center"/>
        <w:rPr>
          <w:b/>
          <w:bCs/>
          <w:sz w:val="28"/>
          <w:szCs w:val="28"/>
        </w:rPr>
      </w:pPr>
      <w:r w:rsidRPr="00E06B1B">
        <w:rPr>
          <w:b/>
          <w:bCs/>
          <w:sz w:val="28"/>
          <w:szCs w:val="28"/>
        </w:rPr>
        <w:t>Fifteenth Annual Indian Law Conference</w:t>
      </w:r>
    </w:p>
    <w:p w14:paraId="00204055" w14:textId="77777777" w:rsidR="0062655F" w:rsidRPr="00E06B1B" w:rsidRDefault="0062655F" w:rsidP="00E06B1B"/>
    <w:p w14:paraId="06F8E744" w14:textId="2F27A00A" w:rsidR="0062655F" w:rsidRDefault="0062655F" w:rsidP="00E06B1B">
      <w:pPr>
        <w:jc w:val="center"/>
        <w:rPr>
          <w:b/>
          <w:bCs/>
          <w:sz w:val="28"/>
          <w:szCs w:val="28"/>
        </w:rPr>
      </w:pPr>
      <w:r w:rsidRPr="00E06B1B">
        <w:rPr>
          <w:b/>
          <w:bCs/>
          <w:sz w:val="28"/>
          <w:szCs w:val="28"/>
        </w:rPr>
        <w:t>Columbia River Settlement Update</w:t>
      </w:r>
      <w:r w:rsidR="00E06B1B">
        <w:rPr>
          <w:b/>
          <w:bCs/>
          <w:sz w:val="28"/>
          <w:szCs w:val="28"/>
        </w:rPr>
        <w:t xml:space="preserve"> (outline of </w:t>
      </w:r>
      <w:proofErr w:type="gramStart"/>
      <w:r w:rsidR="00E06B1B">
        <w:rPr>
          <w:b/>
          <w:bCs/>
          <w:sz w:val="28"/>
          <w:szCs w:val="28"/>
        </w:rPr>
        <w:t>presentation)</w:t>
      </w:r>
      <w:r w:rsidR="000855D8">
        <w:rPr>
          <w:b/>
          <w:bCs/>
          <w:sz w:val="28"/>
          <w:szCs w:val="28"/>
        </w:rPr>
        <w:t>*</w:t>
      </w:r>
      <w:proofErr w:type="gramEnd"/>
    </w:p>
    <w:p w14:paraId="6E195C89" w14:textId="07489B97" w:rsidR="00FC4A23" w:rsidRPr="00E06B1B" w:rsidRDefault="00FC4A23" w:rsidP="00E06B1B">
      <w:pPr>
        <w:jc w:val="center"/>
        <w:rPr>
          <w:b/>
          <w:bCs/>
          <w:sz w:val="28"/>
          <w:szCs w:val="28"/>
        </w:rPr>
      </w:pPr>
      <w:r>
        <w:rPr>
          <w:b/>
          <w:bCs/>
          <w:sz w:val="28"/>
          <w:szCs w:val="28"/>
        </w:rPr>
        <w:t>March 15, 2024</w:t>
      </w:r>
    </w:p>
    <w:p w14:paraId="21DB736D" w14:textId="77777777" w:rsidR="00843256" w:rsidRPr="00E06B1B" w:rsidRDefault="00843256" w:rsidP="0062655F"/>
    <w:p w14:paraId="767E1A31" w14:textId="77777777" w:rsidR="0062655F" w:rsidRPr="00E06B1B" w:rsidRDefault="0062655F" w:rsidP="0062655F"/>
    <w:p w14:paraId="5EBFD265" w14:textId="77777777" w:rsidR="0062655F" w:rsidRPr="00C41913" w:rsidRDefault="0062655F" w:rsidP="0062655F">
      <w:pPr>
        <w:rPr>
          <w:b/>
          <w:bCs/>
        </w:rPr>
      </w:pPr>
      <w:r w:rsidRPr="00C41913">
        <w:rPr>
          <w:b/>
          <w:bCs/>
        </w:rPr>
        <w:t>General context: Columbia River system operations and actions intended to benefit fish and wildlife, especially salmon and steelhead</w:t>
      </w:r>
    </w:p>
    <w:p w14:paraId="7FF74B9F" w14:textId="77777777" w:rsidR="0062655F" w:rsidRPr="00C41913" w:rsidRDefault="0062655F" w:rsidP="0062655F"/>
    <w:p w14:paraId="4D1D1849" w14:textId="77777777" w:rsidR="0062655F" w:rsidRPr="00C41913" w:rsidRDefault="0062655F" w:rsidP="0062655F">
      <w:pPr>
        <w:pStyle w:val="ListParagraph"/>
        <w:numPr>
          <w:ilvl w:val="0"/>
          <w:numId w:val="15"/>
        </w:numPr>
        <w:spacing w:after="0"/>
        <w:ind w:left="450"/>
        <w:rPr>
          <w:rFonts w:ascii="Arial" w:hAnsi="Arial" w:cs="Arial"/>
          <w:sz w:val="24"/>
          <w:szCs w:val="24"/>
        </w:rPr>
      </w:pPr>
      <w:r w:rsidRPr="00C41913">
        <w:rPr>
          <w:rFonts w:ascii="Arial" w:hAnsi="Arial" w:cs="Arial"/>
          <w:sz w:val="24"/>
          <w:szCs w:val="24"/>
        </w:rPr>
        <w:t>big program built up over 40+ years – mix of NW Power Act protection and mitigation responsibilities, various Congressional authorizations, and ESA requirements</w:t>
      </w:r>
    </w:p>
    <w:p w14:paraId="7039765E" w14:textId="77777777" w:rsidR="0062655F" w:rsidRPr="00C41913" w:rsidRDefault="0062655F" w:rsidP="0062655F">
      <w:pPr>
        <w:pStyle w:val="ListParagraph"/>
        <w:numPr>
          <w:ilvl w:val="0"/>
          <w:numId w:val="15"/>
        </w:numPr>
        <w:spacing w:after="0"/>
        <w:ind w:left="450"/>
        <w:rPr>
          <w:rFonts w:ascii="Arial" w:hAnsi="Arial" w:cs="Arial"/>
          <w:sz w:val="24"/>
          <w:szCs w:val="24"/>
        </w:rPr>
      </w:pPr>
      <w:r w:rsidRPr="00C41913">
        <w:rPr>
          <w:rFonts w:ascii="Arial" w:hAnsi="Arial" w:cs="Arial"/>
          <w:sz w:val="24"/>
          <w:szCs w:val="24"/>
        </w:rPr>
        <w:t>implemented largely mostly by Bonneville funding and Corps/Bureau operations and funding</w:t>
      </w:r>
    </w:p>
    <w:p w14:paraId="677EE9C9"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reservoir operations, flows, spill and other passage operations and dam modifications</w:t>
      </w:r>
    </w:p>
    <w:p w14:paraId="0ADBA4C1" w14:textId="77777777" w:rsidR="0062655F" w:rsidRPr="00C41913" w:rsidRDefault="0062655F" w:rsidP="0062655F">
      <w:pPr>
        <w:pStyle w:val="ListParagraph"/>
        <w:numPr>
          <w:ilvl w:val="0"/>
          <w:numId w:val="16"/>
        </w:numPr>
        <w:spacing w:after="0"/>
        <w:ind w:left="1260"/>
        <w:rPr>
          <w:rFonts w:ascii="Arial" w:hAnsi="Arial" w:cs="Arial"/>
          <w:sz w:val="24"/>
          <w:szCs w:val="24"/>
        </w:rPr>
      </w:pPr>
      <w:proofErr w:type="gramStart"/>
      <w:r w:rsidRPr="00C41913">
        <w:rPr>
          <w:rFonts w:ascii="Arial" w:hAnsi="Arial" w:cs="Arial"/>
          <w:sz w:val="24"/>
          <w:szCs w:val="24"/>
        </w:rPr>
        <w:t>also</w:t>
      </w:r>
      <w:proofErr w:type="gramEnd"/>
      <w:r w:rsidRPr="00C41913">
        <w:rPr>
          <w:rFonts w:ascii="Arial" w:hAnsi="Arial" w:cs="Arial"/>
          <w:sz w:val="24"/>
          <w:szCs w:val="24"/>
        </w:rPr>
        <w:t xml:space="preserve"> predator management in mainstem</w:t>
      </w:r>
    </w:p>
    <w:p w14:paraId="274C46B3"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habitat protection and improvements in mainstem, tributaries, estuary</w:t>
      </w:r>
    </w:p>
    <w:p w14:paraId="3440F88D"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artificial production</w:t>
      </w:r>
    </w:p>
    <w:p w14:paraId="3B8C038D" w14:textId="77777777" w:rsidR="0062655F" w:rsidRPr="00C41913" w:rsidRDefault="0062655F" w:rsidP="0062655F">
      <w:pPr>
        <w:pStyle w:val="ListParagraph"/>
        <w:numPr>
          <w:ilvl w:val="1"/>
          <w:numId w:val="15"/>
        </w:numPr>
        <w:spacing w:after="0"/>
        <w:ind w:left="900"/>
        <w:rPr>
          <w:rFonts w:ascii="Arial" w:hAnsi="Arial" w:cs="Arial"/>
          <w:sz w:val="24"/>
          <w:szCs w:val="24"/>
        </w:rPr>
      </w:pPr>
      <w:proofErr w:type="spellStart"/>
      <w:r w:rsidRPr="00C41913">
        <w:rPr>
          <w:rFonts w:ascii="Arial" w:hAnsi="Arial" w:cs="Arial"/>
          <w:sz w:val="24"/>
          <w:szCs w:val="24"/>
        </w:rPr>
        <w:t>rme</w:t>
      </w:r>
      <w:proofErr w:type="spellEnd"/>
    </w:p>
    <w:p w14:paraId="05711942" w14:textId="77777777" w:rsidR="0062655F" w:rsidRPr="00C41913" w:rsidRDefault="0062655F" w:rsidP="0062655F">
      <w:pPr>
        <w:pStyle w:val="ListParagraph"/>
        <w:numPr>
          <w:ilvl w:val="0"/>
          <w:numId w:val="15"/>
        </w:numPr>
        <w:spacing w:after="0"/>
        <w:ind w:left="450"/>
        <w:rPr>
          <w:rFonts w:ascii="Arial" w:hAnsi="Arial" w:cs="Arial"/>
          <w:sz w:val="24"/>
          <w:szCs w:val="24"/>
        </w:rPr>
      </w:pPr>
      <w:r w:rsidRPr="00C41913">
        <w:rPr>
          <w:rFonts w:ascii="Arial" w:hAnsi="Arial" w:cs="Arial"/>
          <w:sz w:val="24"/>
          <w:szCs w:val="24"/>
        </w:rPr>
        <w:t>focused on all fish and wildlife affected, not just salmon and steelhead, but salmon and steelhead have special prominence, and not just listed species</w:t>
      </w:r>
    </w:p>
    <w:p w14:paraId="5EE2B511" w14:textId="77777777" w:rsidR="0062655F" w:rsidRPr="00C41913" w:rsidRDefault="0062655F" w:rsidP="0062655F">
      <w:pPr>
        <w:pStyle w:val="ListParagraph"/>
        <w:numPr>
          <w:ilvl w:val="0"/>
          <w:numId w:val="15"/>
        </w:numPr>
        <w:spacing w:after="0"/>
        <w:ind w:left="450"/>
        <w:rPr>
          <w:rFonts w:ascii="Arial" w:hAnsi="Arial" w:cs="Arial"/>
          <w:sz w:val="24"/>
          <w:szCs w:val="24"/>
        </w:rPr>
      </w:pPr>
      <w:r w:rsidRPr="00C41913">
        <w:rPr>
          <w:rFonts w:ascii="Arial" w:hAnsi="Arial" w:cs="Arial"/>
          <w:sz w:val="24"/>
          <w:szCs w:val="24"/>
        </w:rPr>
        <w:t>affects all dams, not just federal</w:t>
      </w:r>
    </w:p>
    <w:p w14:paraId="3A4940F1" w14:textId="77777777" w:rsidR="0062655F" w:rsidRPr="00C41913" w:rsidRDefault="0062655F" w:rsidP="0062655F">
      <w:pPr>
        <w:pStyle w:val="ListParagraph"/>
        <w:numPr>
          <w:ilvl w:val="0"/>
          <w:numId w:val="15"/>
        </w:numPr>
        <w:spacing w:after="0"/>
        <w:ind w:left="450"/>
        <w:rPr>
          <w:rFonts w:ascii="Arial" w:hAnsi="Arial" w:cs="Arial"/>
          <w:sz w:val="24"/>
          <w:szCs w:val="24"/>
        </w:rPr>
      </w:pPr>
      <w:r w:rsidRPr="00C41913">
        <w:rPr>
          <w:rFonts w:ascii="Arial" w:hAnsi="Arial" w:cs="Arial"/>
          <w:sz w:val="24"/>
          <w:szCs w:val="24"/>
        </w:rPr>
        <w:t>premises/hypotheses</w:t>
      </w:r>
    </w:p>
    <w:p w14:paraId="274D2961"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can be done and enjoy other benefits of system (power, flood control, navigation)</w:t>
      </w:r>
    </w:p>
    <w:p w14:paraId="5639412F"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those who benefit should bear the cost (ratepayer)</w:t>
      </w:r>
    </w:p>
    <w:p w14:paraId="6D8684D5" w14:textId="77777777" w:rsidR="0062655F" w:rsidRPr="00C41913" w:rsidRDefault="0062655F" w:rsidP="0062655F">
      <w:pPr>
        <w:pStyle w:val="ListParagraph"/>
        <w:numPr>
          <w:ilvl w:val="0"/>
          <w:numId w:val="15"/>
        </w:numPr>
        <w:spacing w:after="0"/>
        <w:ind w:left="450"/>
        <w:rPr>
          <w:rFonts w:ascii="Arial" w:hAnsi="Arial" w:cs="Arial"/>
          <w:sz w:val="24"/>
          <w:szCs w:val="24"/>
        </w:rPr>
      </w:pPr>
      <w:r w:rsidRPr="00C41913">
        <w:rPr>
          <w:rFonts w:ascii="Arial" w:hAnsi="Arial" w:cs="Arial"/>
          <w:sz w:val="24"/>
          <w:szCs w:val="24"/>
        </w:rPr>
        <w:t>these categories have been set for decades – listings and litigations and etc. have just ratcheted up the dials (amount of money, actions, spill, etc.)</w:t>
      </w:r>
    </w:p>
    <w:p w14:paraId="5CA2DAA2" w14:textId="77777777" w:rsidR="0062655F" w:rsidRPr="00C41913" w:rsidRDefault="0062655F" w:rsidP="0062655F"/>
    <w:p w14:paraId="6EAA7169" w14:textId="77777777" w:rsidR="0062655F" w:rsidRDefault="0062655F" w:rsidP="0062655F"/>
    <w:p w14:paraId="14A1C3C0" w14:textId="588A555D" w:rsidR="00843256" w:rsidRPr="000855D8" w:rsidRDefault="000855D8" w:rsidP="0062655F">
      <w:pPr>
        <w:rPr>
          <w:i/>
          <w:iCs/>
        </w:rPr>
      </w:pPr>
      <w:r w:rsidRPr="000855D8">
        <w:rPr>
          <w:i/>
          <w:iCs/>
        </w:rPr>
        <w:t>*</w:t>
      </w:r>
      <w:r>
        <w:rPr>
          <w:i/>
          <w:iCs/>
        </w:rPr>
        <w:t>These are personal reflections on the settlements. This is not an official or even unofficial Council analysis or document.</w:t>
      </w:r>
    </w:p>
    <w:p w14:paraId="1BCDACF4" w14:textId="77777777" w:rsidR="0062655F" w:rsidRPr="00C41913" w:rsidRDefault="0062655F" w:rsidP="0062655F">
      <w:pPr>
        <w:rPr>
          <w:b/>
          <w:bCs/>
        </w:rPr>
      </w:pPr>
      <w:r w:rsidRPr="00C41913">
        <w:rPr>
          <w:b/>
          <w:bCs/>
        </w:rPr>
        <w:lastRenderedPageBreak/>
        <w:t>Litigation context and settlement process</w:t>
      </w:r>
    </w:p>
    <w:p w14:paraId="3C70BE05" w14:textId="77777777" w:rsidR="0062655F" w:rsidRPr="00C41913" w:rsidRDefault="0062655F" w:rsidP="0062655F"/>
    <w:p w14:paraId="4C369431" w14:textId="77777777" w:rsidR="0062655F" w:rsidRPr="00C41913" w:rsidRDefault="0062655F" w:rsidP="0062655F">
      <w:pPr>
        <w:rPr>
          <w:u w:val="single"/>
        </w:rPr>
      </w:pPr>
      <w:r w:rsidRPr="00C41913">
        <w:rPr>
          <w:u w:val="single"/>
        </w:rPr>
        <w:t>General context</w:t>
      </w:r>
    </w:p>
    <w:p w14:paraId="64DFF57D" w14:textId="77777777" w:rsidR="0062655F" w:rsidRPr="00C41913" w:rsidRDefault="0062655F" w:rsidP="00A5289F">
      <w:pPr>
        <w:pStyle w:val="ListParagraph"/>
        <w:numPr>
          <w:ilvl w:val="0"/>
          <w:numId w:val="15"/>
        </w:numPr>
        <w:spacing w:after="0"/>
        <w:ind w:left="360"/>
        <w:rPr>
          <w:rFonts w:ascii="Arial" w:hAnsi="Arial" w:cs="Arial"/>
          <w:sz w:val="24"/>
          <w:szCs w:val="24"/>
        </w:rPr>
      </w:pPr>
      <w:r w:rsidRPr="00C41913">
        <w:rPr>
          <w:rFonts w:ascii="Arial" w:hAnsi="Arial" w:cs="Arial"/>
          <w:i/>
          <w:iCs/>
          <w:sz w:val="24"/>
          <w:szCs w:val="24"/>
        </w:rPr>
        <w:t>NWF</w:t>
      </w:r>
      <w:r w:rsidRPr="00C41913">
        <w:rPr>
          <w:rFonts w:ascii="Arial" w:hAnsi="Arial" w:cs="Arial"/>
          <w:sz w:val="24"/>
          <w:szCs w:val="24"/>
        </w:rPr>
        <w:t xml:space="preserve"> case – continuing jurisdiction since 2000 in US District Court in Oregon</w:t>
      </w:r>
    </w:p>
    <w:p w14:paraId="7ED9A681" w14:textId="77777777" w:rsidR="0062655F" w:rsidRPr="00C41913" w:rsidRDefault="0062655F" w:rsidP="00A5289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 xml:space="preserve">challenging succession of Biological Opinions from NOAA Fisheries analyzing impacts of system operations and associated fish protection and mitigation actions on listed salmon and steelhead (and eventually Southern Resident killer whales, </w:t>
      </w:r>
      <w:proofErr w:type="gramStart"/>
      <w:r w:rsidRPr="00C41913">
        <w:rPr>
          <w:rFonts w:ascii="Arial" w:hAnsi="Arial" w:cs="Arial"/>
          <w:sz w:val="24"/>
          <w:szCs w:val="24"/>
        </w:rPr>
        <w:t>Green</w:t>
      </w:r>
      <w:proofErr w:type="gramEnd"/>
      <w:r w:rsidRPr="00C41913">
        <w:rPr>
          <w:rFonts w:ascii="Arial" w:hAnsi="Arial" w:cs="Arial"/>
          <w:sz w:val="24"/>
          <w:szCs w:val="24"/>
        </w:rPr>
        <w:t xml:space="preserve"> sturgeon and Pacific eulachon) under an ESA umbrella</w:t>
      </w:r>
    </w:p>
    <w:p w14:paraId="7ED5AADB" w14:textId="77777777" w:rsidR="0062655F" w:rsidRPr="00C41913" w:rsidRDefault="0062655F" w:rsidP="00A5289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litigation is ESA focused – also eventually NEPA too</w:t>
      </w:r>
    </w:p>
    <w:p w14:paraId="66088778" w14:textId="77777777" w:rsidR="0062655F" w:rsidRPr="00C41913" w:rsidRDefault="0062655F" w:rsidP="00A5289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defendants have been NOAA (resource agency) and Corps and Bureau of Reclamation (two of three action agencies)</w:t>
      </w:r>
    </w:p>
    <w:p w14:paraId="704206CB" w14:textId="77777777" w:rsidR="0062655F" w:rsidRPr="00C41913" w:rsidRDefault="0062655F" w:rsidP="00A5289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companion case in 9th Circ vs Bonneville (other action agency) – NW Power Act jurisdiction</w:t>
      </w:r>
    </w:p>
    <w:p w14:paraId="300B91C8" w14:textId="77777777" w:rsidR="0062655F" w:rsidRPr="00C41913" w:rsidRDefault="0062655F" w:rsidP="00A5289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result has been a succession of remands</w:t>
      </w:r>
    </w:p>
    <w:p w14:paraId="46E47F32" w14:textId="2AB23643"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decisions never really question validity of suite of actions</w:t>
      </w:r>
      <w:r w:rsidR="00BD6CE8">
        <w:rPr>
          <w:rFonts w:ascii="Arial" w:hAnsi="Arial" w:cs="Arial"/>
          <w:sz w:val="24"/>
          <w:szCs w:val="24"/>
        </w:rPr>
        <w:t>; focus is more on whether the actions have been demonstrated to be enough</w:t>
      </w:r>
      <w:r w:rsidRPr="00C41913">
        <w:rPr>
          <w:rFonts w:ascii="Arial" w:hAnsi="Arial" w:cs="Arial"/>
          <w:sz w:val="24"/>
          <w:szCs w:val="24"/>
        </w:rPr>
        <w:t xml:space="preserve"> – </w:t>
      </w:r>
      <w:r w:rsidR="00BD6CE8">
        <w:rPr>
          <w:rFonts w:ascii="Arial" w:hAnsi="Arial" w:cs="Arial"/>
          <w:sz w:val="24"/>
          <w:szCs w:val="24"/>
        </w:rPr>
        <w:t xml:space="preserve">i.e., </w:t>
      </w:r>
      <w:r w:rsidRPr="00C41913">
        <w:rPr>
          <w:rFonts w:ascii="Arial" w:hAnsi="Arial" w:cs="Arial"/>
          <w:sz w:val="24"/>
          <w:szCs w:val="24"/>
        </w:rPr>
        <w:t xml:space="preserve">have ESA needs been analyzed correctly? actions and benefits been </w:t>
      </w:r>
      <w:r w:rsidR="00BD6CE8">
        <w:rPr>
          <w:rFonts w:ascii="Arial" w:hAnsi="Arial" w:cs="Arial"/>
          <w:sz w:val="24"/>
          <w:szCs w:val="24"/>
        </w:rPr>
        <w:t xml:space="preserve">shown </w:t>
      </w:r>
      <w:r w:rsidRPr="00C41913">
        <w:rPr>
          <w:rFonts w:ascii="Arial" w:hAnsi="Arial" w:cs="Arial"/>
          <w:sz w:val="24"/>
          <w:szCs w:val="24"/>
        </w:rPr>
        <w:t xml:space="preserve">to be sufficiently certain? </w:t>
      </w:r>
      <w:r w:rsidR="00BD6CE8">
        <w:rPr>
          <w:rFonts w:ascii="Arial" w:hAnsi="Arial" w:cs="Arial"/>
          <w:sz w:val="24"/>
          <w:szCs w:val="24"/>
        </w:rPr>
        <w:t>i</w:t>
      </w:r>
      <w:r w:rsidRPr="00C41913">
        <w:rPr>
          <w:rFonts w:ascii="Arial" w:hAnsi="Arial" w:cs="Arial"/>
          <w:sz w:val="24"/>
          <w:szCs w:val="24"/>
        </w:rPr>
        <w:t xml:space="preserve">nformation in record support actions as </w:t>
      </w:r>
      <w:r w:rsidR="00BD6CE8">
        <w:rPr>
          <w:rFonts w:ascii="Arial" w:hAnsi="Arial" w:cs="Arial"/>
          <w:sz w:val="24"/>
          <w:szCs w:val="24"/>
        </w:rPr>
        <w:t>sufficient to meet needs and legal standards</w:t>
      </w:r>
      <w:r w:rsidRPr="00C41913">
        <w:rPr>
          <w:rFonts w:ascii="Arial" w:hAnsi="Arial" w:cs="Arial"/>
          <w:sz w:val="24"/>
          <w:szCs w:val="24"/>
        </w:rPr>
        <w:t>?</w:t>
      </w:r>
    </w:p>
    <w:p w14:paraId="46F07D53"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remands come w/ associated requirements for sovereign collaboration for future planning</w:t>
      </w:r>
    </w:p>
    <w:p w14:paraId="1304C307" w14:textId="0313335E" w:rsidR="0062655F" w:rsidRPr="00C41913" w:rsidRDefault="0062655F" w:rsidP="002932F9">
      <w:pPr>
        <w:pStyle w:val="ListParagraph"/>
        <w:numPr>
          <w:ilvl w:val="0"/>
          <w:numId w:val="16"/>
        </w:numPr>
        <w:spacing w:after="0"/>
        <w:ind w:left="1440"/>
        <w:rPr>
          <w:rFonts w:ascii="Arial" w:hAnsi="Arial" w:cs="Arial"/>
          <w:sz w:val="24"/>
          <w:szCs w:val="24"/>
        </w:rPr>
      </w:pPr>
      <w:r w:rsidRPr="00C41913">
        <w:rPr>
          <w:rFonts w:ascii="Arial" w:hAnsi="Arial" w:cs="Arial"/>
          <w:sz w:val="24"/>
          <w:szCs w:val="24"/>
        </w:rPr>
        <w:t xml:space="preserve">Columbia Fish Accords in 2008 </w:t>
      </w:r>
      <w:r w:rsidR="002932F9">
        <w:rPr>
          <w:rFonts w:ascii="Arial" w:hAnsi="Arial" w:cs="Arial"/>
          <w:sz w:val="24"/>
          <w:szCs w:val="24"/>
        </w:rPr>
        <w:t xml:space="preserve">partly a </w:t>
      </w:r>
      <w:r w:rsidRPr="00C41913">
        <w:rPr>
          <w:rFonts w:ascii="Arial" w:hAnsi="Arial" w:cs="Arial"/>
          <w:sz w:val="24"/>
          <w:szCs w:val="24"/>
        </w:rPr>
        <w:t>result, along with shifting of party alignment</w:t>
      </w:r>
    </w:p>
    <w:p w14:paraId="38BAB045"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increased juvenile passage spill as interim relief</w:t>
      </w:r>
    </w:p>
    <w:p w14:paraId="6D0920E7" w14:textId="77777777" w:rsidR="0062655F" w:rsidRPr="00C41913" w:rsidRDefault="0062655F" w:rsidP="0062655F"/>
    <w:p w14:paraId="124035F5" w14:textId="77777777" w:rsidR="0062655F" w:rsidRPr="00C41913" w:rsidRDefault="0062655F" w:rsidP="0062655F">
      <w:pPr>
        <w:rPr>
          <w:u w:val="single"/>
        </w:rPr>
      </w:pPr>
      <w:r w:rsidRPr="00C41913">
        <w:rPr>
          <w:u w:val="single"/>
        </w:rPr>
        <w:t>Most recent litigation context</w:t>
      </w:r>
    </w:p>
    <w:p w14:paraId="4462AB2E" w14:textId="77777777" w:rsidR="0062655F" w:rsidRPr="00C41913" w:rsidRDefault="0062655F" w:rsidP="0062655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 xml:space="preserve">In 2016, Judge Simon bounced the 2008/11/14 </w:t>
      </w:r>
      <w:proofErr w:type="spellStart"/>
      <w:r w:rsidRPr="00C41913">
        <w:rPr>
          <w:rFonts w:ascii="Arial" w:hAnsi="Arial" w:cs="Arial"/>
          <w:sz w:val="24"/>
          <w:szCs w:val="24"/>
        </w:rPr>
        <w:t>BiOp</w:t>
      </w:r>
      <w:proofErr w:type="spellEnd"/>
      <w:r w:rsidRPr="00C41913">
        <w:rPr>
          <w:rFonts w:ascii="Arial" w:hAnsi="Arial" w:cs="Arial"/>
          <w:sz w:val="24"/>
          <w:szCs w:val="24"/>
        </w:rPr>
        <w:t xml:space="preserve"> and associated RODs on ESA grounds and also for stale NEPA coverage</w:t>
      </w:r>
    </w:p>
    <w:p w14:paraId="184DDFE0" w14:textId="77777777" w:rsidR="0062655F" w:rsidRPr="00C41913" w:rsidRDefault="0062655F" w:rsidP="0062655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 xml:space="preserve">ordered feds to do a programmatic EIS on system ops and ESA (strongly intimating one alternative studied should be dam removal) as well as new </w:t>
      </w:r>
      <w:proofErr w:type="spellStart"/>
      <w:r w:rsidRPr="00C41913">
        <w:rPr>
          <w:rFonts w:ascii="Arial" w:hAnsi="Arial" w:cs="Arial"/>
          <w:sz w:val="24"/>
          <w:szCs w:val="24"/>
        </w:rPr>
        <w:t>BiOp</w:t>
      </w:r>
      <w:proofErr w:type="spellEnd"/>
    </w:p>
    <w:p w14:paraId="7E9257E2" w14:textId="77777777" w:rsidR="0062655F" w:rsidRPr="00C41913" w:rsidRDefault="0062655F" w:rsidP="0062655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feds expected 2021</w:t>
      </w:r>
    </w:p>
    <w:p w14:paraId="4F426C31" w14:textId="77777777" w:rsidR="0062655F" w:rsidRPr="00C41913" w:rsidRDefault="0062655F" w:rsidP="0062655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Trump administration moved up to 2020</w:t>
      </w:r>
    </w:p>
    <w:p w14:paraId="423D6DA4" w14:textId="77777777" w:rsidR="0062655F" w:rsidRPr="00C41913" w:rsidRDefault="0062655F" w:rsidP="0062655F">
      <w:pPr>
        <w:pStyle w:val="ListParagraph"/>
        <w:numPr>
          <w:ilvl w:val="0"/>
          <w:numId w:val="15"/>
        </w:numPr>
        <w:spacing w:after="0"/>
        <w:ind w:left="360"/>
        <w:rPr>
          <w:rFonts w:ascii="Arial" w:hAnsi="Arial" w:cs="Arial"/>
          <w:sz w:val="24"/>
          <w:szCs w:val="24"/>
        </w:rPr>
      </w:pPr>
      <w:r w:rsidRPr="00C41913">
        <w:rPr>
          <w:rFonts w:ascii="Arial" w:hAnsi="Arial" w:cs="Arial"/>
          <w:sz w:val="24"/>
          <w:szCs w:val="24"/>
        </w:rPr>
        <w:t xml:space="preserve">2020 CRSO EIS and new </w:t>
      </w:r>
      <w:proofErr w:type="spellStart"/>
      <w:r w:rsidRPr="00C41913">
        <w:rPr>
          <w:rFonts w:ascii="Arial" w:hAnsi="Arial" w:cs="Arial"/>
          <w:sz w:val="24"/>
          <w:szCs w:val="24"/>
        </w:rPr>
        <w:t>BiOps</w:t>
      </w:r>
      <w:proofErr w:type="spellEnd"/>
      <w:r w:rsidRPr="00C41913">
        <w:rPr>
          <w:rFonts w:ascii="Arial" w:hAnsi="Arial" w:cs="Arial"/>
          <w:sz w:val="24"/>
          <w:szCs w:val="24"/>
        </w:rPr>
        <w:t xml:space="preserve"> (NOAA and FWS for impacts to listed Kootenai sturgeon/bull trout)</w:t>
      </w:r>
    </w:p>
    <w:p w14:paraId="49A3FE40" w14:textId="77777777" w:rsidR="0062655F" w:rsidRPr="00C41913" w:rsidRDefault="0062655F" w:rsidP="0062655F"/>
    <w:p w14:paraId="335DB6A4" w14:textId="77777777" w:rsidR="0062655F" w:rsidRPr="00C41913" w:rsidRDefault="0062655F" w:rsidP="0062655F">
      <w:pPr>
        <w:rPr>
          <w:u w:val="single"/>
        </w:rPr>
      </w:pPr>
      <w:r w:rsidRPr="00C41913">
        <w:rPr>
          <w:u w:val="single"/>
        </w:rPr>
        <w:t>Litigation recommences</w:t>
      </w:r>
    </w:p>
    <w:p w14:paraId="2D347FCE"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 xml:space="preserve">2020/2021 </w:t>
      </w:r>
      <w:r w:rsidRPr="00C41913">
        <w:rPr>
          <w:rFonts w:ascii="Arial" w:hAnsi="Arial" w:cs="Arial"/>
          <w:i/>
          <w:iCs/>
          <w:sz w:val="24"/>
          <w:szCs w:val="24"/>
        </w:rPr>
        <w:t>NWF</w:t>
      </w:r>
      <w:r w:rsidRPr="00C41913">
        <w:rPr>
          <w:rFonts w:ascii="Arial" w:hAnsi="Arial" w:cs="Arial"/>
          <w:sz w:val="24"/>
          <w:szCs w:val="24"/>
        </w:rPr>
        <w:t xml:space="preserve"> case recommences</w:t>
      </w:r>
    </w:p>
    <w:p w14:paraId="5217CD96"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NWF plaintiffs and Oregon are plaintiffs; Nez Perce Tribe amicus in support</w:t>
      </w:r>
    </w:p>
    <w:p w14:paraId="7636E5D4"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Washington and other lower river tribes (Yakama, Umatilla, Warm Springs move from support of feds to unaligned status)</w:t>
      </w:r>
    </w:p>
    <w:p w14:paraId="331BFD43"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new plaintiffs – Spokane Tribe and Coeur d’Alene Tribe</w:t>
      </w:r>
    </w:p>
    <w:p w14:paraId="53CFC7EF" w14:textId="77777777" w:rsidR="0062655F" w:rsidRPr="00C41913" w:rsidRDefault="0062655F" w:rsidP="009B7115">
      <w:pPr>
        <w:pStyle w:val="ListParagraph"/>
        <w:numPr>
          <w:ilvl w:val="0"/>
          <w:numId w:val="16"/>
        </w:numPr>
        <w:spacing w:after="0"/>
        <w:ind w:left="1440"/>
        <w:rPr>
          <w:rFonts w:ascii="Arial" w:hAnsi="Arial" w:cs="Arial"/>
          <w:sz w:val="24"/>
          <w:szCs w:val="24"/>
        </w:rPr>
      </w:pPr>
      <w:r w:rsidRPr="00C41913">
        <w:rPr>
          <w:rFonts w:ascii="Arial" w:hAnsi="Arial" w:cs="Arial"/>
          <w:sz w:val="24"/>
          <w:szCs w:val="24"/>
        </w:rPr>
        <w:t>raising NW Power Act claims as well as ESA/NEPA</w:t>
      </w:r>
    </w:p>
    <w:p w14:paraId="6535F86F" w14:textId="77777777" w:rsidR="0062655F" w:rsidRPr="00C41913" w:rsidRDefault="0062655F" w:rsidP="009B7115">
      <w:pPr>
        <w:pStyle w:val="ListParagraph"/>
        <w:numPr>
          <w:ilvl w:val="0"/>
          <w:numId w:val="16"/>
        </w:numPr>
        <w:spacing w:after="0"/>
        <w:ind w:left="1440"/>
        <w:rPr>
          <w:rFonts w:ascii="Arial" w:hAnsi="Arial" w:cs="Arial"/>
          <w:sz w:val="24"/>
          <w:szCs w:val="24"/>
        </w:rPr>
      </w:pPr>
      <w:r w:rsidRPr="00C41913">
        <w:rPr>
          <w:rFonts w:ascii="Arial" w:hAnsi="Arial" w:cs="Arial"/>
          <w:sz w:val="24"/>
          <w:szCs w:val="24"/>
        </w:rPr>
        <w:lastRenderedPageBreak/>
        <w:t>upper Columbia focus – ESA (</w:t>
      </w:r>
      <w:proofErr w:type="spellStart"/>
      <w:r w:rsidRPr="00C41913">
        <w:rPr>
          <w:rFonts w:ascii="Arial" w:hAnsi="Arial" w:cs="Arial"/>
          <w:sz w:val="24"/>
          <w:szCs w:val="24"/>
        </w:rPr>
        <w:t>esp</w:t>
      </w:r>
      <w:proofErr w:type="spellEnd"/>
      <w:r w:rsidRPr="00C41913">
        <w:rPr>
          <w:rFonts w:ascii="Arial" w:hAnsi="Arial" w:cs="Arial"/>
          <w:sz w:val="24"/>
          <w:szCs w:val="24"/>
        </w:rPr>
        <w:t xml:space="preserve"> upper Columbia Spring Chinook) and NW Power Act (program measures for mitigation and reintroduction) and NEPA</w:t>
      </w:r>
    </w:p>
    <w:p w14:paraId="6288A7A5"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companion case in 9th Circuit vs Bonneville is more interesting, because direct NW Power Act claims vs Bonneville by Spokane/Coeur d’Alene</w:t>
      </w:r>
    </w:p>
    <w:p w14:paraId="2F943F4E" w14:textId="3D62B174"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defendant</w:t>
      </w:r>
      <w:r w:rsidR="00BD6CE8">
        <w:rPr>
          <w:rFonts w:ascii="Arial" w:hAnsi="Arial" w:cs="Arial"/>
          <w:sz w:val="24"/>
          <w:szCs w:val="24"/>
        </w:rPr>
        <w:t xml:space="preserve"> federal agencies </w:t>
      </w:r>
      <w:r w:rsidRPr="00C41913">
        <w:rPr>
          <w:rFonts w:ascii="Arial" w:hAnsi="Arial" w:cs="Arial"/>
          <w:sz w:val="24"/>
          <w:szCs w:val="24"/>
        </w:rPr>
        <w:t>remain</w:t>
      </w:r>
    </w:p>
    <w:p w14:paraId="654D6F6C" w14:textId="0E3E7C9F"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Idaho/Montana/Kootenai Tribe of Idaho/Colville Tribe</w:t>
      </w:r>
      <w:r w:rsidR="00BD6CE8">
        <w:rPr>
          <w:rFonts w:ascii="Arial" w:hAnsi="Arial" w:cs="Arial"/>
          <w:sz w:val="24"/>
          <w:szCs w:val="24"/>
        </w:rPr>
        <w:t>s</w:t>
      </w:r>
      <w:r w:rsidRPr="00C41913">
        <w:rPr>
          <w:rFonts w:ascii="Arial" w:hAnsi="Arial" w:cs="Arial"/>
          <w:sz w:val="24"/>
          <w:szCs w:val="24"/>
        </w:rPr>
        <w:t>/CSKT all in the litigation, largely supporting feds, but …</w:t>
      </w:r>
    </w:p>
    <w:p w14:paraId="66B86523" w14:textId="77777777" w:rsidR="0062655F" w:rsidRPr="00C41913" w:rsidRDefault="0062655F" w:rsidP="0062655F">
      <w:pPr>
        <w:pStyle w:val="ListParagraph"/>
        <w:numPr>
          <w:ilvl w:val="1"/>
          <w:numId w:val="15"/>
        </w:numPr>
        <w:spacing w:after="0"/>
        <w:ind w:left="900"/>
        <w:rPr>
          <w:rFonts w:ascii="Arial" w:hAnsi="Arial" w:cs="Arial"/>
          <w:sz w:val="24"/>
          <w:szCs w:val="24"/>
        </w:rPr>
      </w:pPr>
      <w:r w:rsidRPr="00C41913">
        <w:rPr>
          <w:rFonts w:ascii="Arial" w:hAnsi="Arial" w:cs="Arial"/>
          <w:sz w:val="24"/>
          <w:szCs w:val="24"/>
        </w:rPr>
        <w:t xml:space="preserve">Industry groups (NW </w:t>
      </w:r>
      <w:proofErr w:type="spellStart"/>
      <w:r w:rsidRPr="00C41913">
        <w:rPr>
          <w:rFonts w:ascii="Arial" w:hAnsi="Arial" w:cs="Arial"/>
          <w:sz w:val="24"/>
          <w:szCs w:val="24"/>
        </w:rPr>
        <w:t>RiverPartners</w:t>
      </w:r>
      <w:proofErr w:type="spellEnd"/>
      <w:r w:rsidRPr="00C41913">
        <w:rPr>
          <w:rFonts w:ascii="Arial" w:hAnsi="Arial" w:cs="Arial"/>
          <w:sz w:val="24"/>
          <w:szCs w:val="24"/>
        </w:rPr>
        <w:t>, PPC, Ports/Navigation Group, Columbia/Snake irrigators) in case supporting feds’ 2020 decisions</w:t>
      </w:r>
    </w:p>
    <w:p w14:paraId="4B0CE6ED"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Council as amicus in district court/intervener in 9th Circuit to protect NW Power Act interests</w:t>
      </w:r>
    </w:p>
    <w:p w14:paraId="4903EB90"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tribes and environmental groups press new Biden administration officials to repudiate Trump-era decisions; engage in comprehensive settlement talks; lower snake dams focus – offer/challenge accepted</w:t>
      </w:r>
    </w:p>
    <w:p w14:paraId="3670C882" w14:textId="77777777" w:rsidR="0062655F" w:rsidRPr="00C41913" w:rsidRDefault="0062655F" w:rsidP="0062655F"/>
    <w:p w14:paraId="1FC8EADC" w14:textId="77777777" w:rsidR="0062655F" w:rsidRPr="00C41913" w:rsidRDefault="0062655F" w:rsidP="0062655F">
      <w:pPr>
        <w:rPr>
          <w:u w:val="single"/>
        </w:rPr>
      </w:pPr>
      <w:r w:rsidRPr="00C41913">
        <w:rPr>
          <w:u w:val="single"/>
        </w:rPr>
        <w:t>Settlement process</w:t>
      </w:r>
    </w:p>
    <w:p w14:paraId="79E6C645"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feds engage FMCS; begin lengthy series of discussions</w:t>
      </w:r>
    </w:p>
    <w:p w14:paraId="255148CB"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involving all parties; largely going nowhere</w:t>
      </w:r>
    </w:p>
    <w:p w14:paraId="3A6253CF"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settlement process eventually breaks off into two distinct discussions involving smaller set of parties (plaintiffs and feds)</w:t>
      </w:r>
    </w:p>
    <w:p w14:paraId="693611A6"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 xml:space="preserve">discussions between federal agencies and Spokane, </w:t>
      </w:r>
      <w:proofErr w:type="spellStart"/>
      <w:r w:rsidRPr="00C41913">
        <w:rPr>
          <w:rFonts w:ascii="Arial" w:hAnsi="Arial" w:cs="Arial"/>
          <w:sz w:val="24"/>
          <w:szCs w:val="24"/>
        </w:rPr>
        <w:t>CdA</w:t>
      </w:r>
      <w:proofErr w:type="spellEnd"/>
      <w:r w:rsidRPr="00C41913">
        <w:rPr>
          <w:rFonts w:ascii="Arial" w:hAnsi="Arial" w:cs="Arial"/>
          <w:sz w:val="24"/>
          <w:szCs w:val="24"/>
        </w:rPr>
        <w:t xml:space="preserve"> and Colville Tribes around upper Columbia and especially the tribes’ plans to study the feasibility of reintroducing anadromous fish above Chief Joseph/Grand Coulee dams</w:t>
      </w:r>
    </w:p>
    <w:p w14:paraId="5A500B42"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discussions between federal agencies and newly formed “Six Sovereign” group – Oregon, Washington, Yakama, Nez Perce, Umatilla, Warm Springs</w:t>
      </w:r>
    </w:p>
    <w:p w14:paraId="4BCCC9C7" w14:textId="77777777" w:rsidR="0062655F" w:rsidRPr="00C41913" w:rsidRDefault="0062655F" w:rsidP="0062655F">
      <w:pPr>
        <w:pStyle w:val="ListParagraph"/>
        <w:numPr>
          <w:ilvl w:val="1"/>
          <w:numId w:val="17"/>
        </w:numPr>
        <w:spacing w:after="0"/>
        <w:ind w:left="720"/>
        <w:rPr>
          <w:rFonts w:ascii="Arial" w:hAnsi="Arial" w:cs="Arial"/>
          <w:sz w:val="24"/>
          <w:szCs w:val="24"/>
        </w:rPr>
      </w:pPr>
      <w:r w:rsidRPr="00C41913">
        <w:rPr>
          <w:rFonts w:ascii="Arial" w:hAnsi="Arial" w:cs="Arial"/>
          <w:sz w:val="24"/>
          <w:szCs w:val="24"/>
        </w:rPr>
        <w:t>others not involved have been testy about being excluded</w:t>
      </w:r>
    </w:p>
    <w:p w14:paraId="0A65B93A"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three important documents/studies emerge publicly along the way:</w:t>
      </w:r>
    </w:p>
    <w:p w14:paraId="7B7FA90E"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NOAA paper titled “Rebuilding Interior Columbia Basin Salmon and Steelhead”</w:t>
      </w:r>
    </w:p>
    <w:p w14:paraId="6B8566C2"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“For Snake River stocks, the centerpiece action is restoring the lower Snake River via dam breaching.”</w:t>
      </w:r>
    </w:p>
    <w:p w14:paraId="77C4173C"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“For upper Columbia River stocks, the centerpiece action is reintroducing fish into blocked areas.”</w:t>
      </w:r>
    </w:p>
    <w:p w14:paraId="38BC5541"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“For mid-Columbia stocks, in addition to improved passage through lower mainstem dams, it is important to improve water quality and quantity and passage survival in focused areas of low- to mid-elevation tributary habitats.”</w:t>
      </w:r>
    </w:p>
    <w:p w14:paraId="2C1F6D37"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Bonneville-funded E3 study of replacement resources and costs if lower Snake River dams are breached</w:t>
      </w:r>
    </w:p>
    <w:p w14:paraId="4CAD9F36"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Presidential Memorandum (Sept 2023) on “restoring healthy and abundant wild salmon and steelhead in the Columbia River Basin”</w:t>
      </w:r>
    </w:p>
    <w:p w14:paraId="3BC1B85A"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 xml:space="preserve">policy statement to restore healthy and abundant salmon, steelhead and other native fish, to secure a clean and resilient energy future, support </w:t>
      </w:r>
      <w:r w:rsidRPr="00C41913">
        <w:rPr>
          <w:rFonts w:ascii="Arial" w:hAnsi="Arial" w:cs="Arial"/>
          <w:sz w:val="24"/>
          <w:szCs w:val="24"/>
        </w:rPr>
        <w:lastRenderedPageBreak/>
        <w:t>local agriculture, and invest in communities that depend on the services provided by the federal dams</w:t>
      </w:r>
    </w:p>
    <w:p w14:paraId="11CA3774"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directs all federal executive departments and agencies with applicable authorities and responsibilities to utilize their authorities and available resources to advance the policy above – review and report within 220 days</w:t>
      </w:r>
    </w:p>
    <w:p w14:paraId="15BE200E"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chair of CEQ and Director of OMB directed to explore opportunities and mechanisms to develop an intergovernmental partnership to advance the policy with the basins states and tribes.</w:t>
      </w:r>
    </w:p>
    <w:p w14:paraId="39E0746E"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two settlement agreements then emerge, one in Sept 2023 and one in Dec 2023</w:t>
      </w:r>
    </w:p>
    <w:p w14:paraId="72DF7467" w14:textId="77777777" w:rsidR="0062655F" w:rsidRPr="00C41913" w:rsidRDefault="0062655F" w:rsidP="0062655F"/>
    <w:p w14:paraId="01818876" w14:textId="77777777" w:rsidR="0062655F" w:rsidRPr="00C41913" w:rsidRDefault="0062655F" w:rsidP="0062655F"/>
    <w:p w14:paraId="615CBFDA" w14:textId="77777777" w:rsidR="0062655F" w:rsidRPr="00C41913" w:rsidRDefault="0062655F" w:rsidP="0062655F">
      <w:pPr>
        <w:rPr>
          <w:b/>
          <w:bCs/>
        </w:rPr>
      </w:pPr>
      <w:r w:rsidRPr="00C41913">
        <w:rPr>
          <w:b/>
          <w:bCs/>
        </w:rPr>
        <w:t>P2IP implementation agreement (Sept 2023)</w:t>
      </w:r>
    </w:p>
    <w:p w14:paraId="3E38F5BF" w14:textId="77777777" w:rsidR="0062655F" w:rsidRPr="00C41913" w:rsidRDefault="0062655F" w:rsidP="0062655F"/>
    <w:p w14:paraId="2A3886BE"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Council’s 2014/2020 Columbia River Basin Fish and Wildlife Program under the NW Power Act. Based largely on recommendations and comments from the tribes in the Lake Roosevelt area, Council included program measures to:</w:t>
      </w:r>
    </w:p>
    <w:p w14:paraId="5595DF25"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call on Bonneville and the other federal agencies to work with tribes to pursue a science-based step-by-step investigation of the feasibility of reintroduction of anadromous fish into the waters above Grand Coulee/Chief Joseph dams</w:t>
      </w:r>
    </w:p>
    <w:p w14:paraId="719E6A27"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more generally, a call on Bonneville to “increase significantly the level of mitigation” for anadromous losses in the Lake Roosevelt area</w:t>
      </w:r>
    </w:p>
    <w:p w14:paraId="655B4098" w14:textId="77777777" w:rsidR="0062655F" w:rsidRPr="00C41913" w:rsidRDefault="0062655F" w:rsidP="0062655F"/>
    <w:p w14:paraId="78C9ECBE" w14:textId="414439C2"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 xml:space="preserve">activities </w:t>
      </w:r>
      <w:r w:rsidR="006433A5">
        <w:rPr>
          <w:rFonts w:ascii="Arial" w:hAnsi="Arial" w:cs="Arial"/>
          <w:sz w:val="24"/>
          <w:szCs w:val="24"/>
        </w:rPr>
        <w:t xml:space="preserve">with regard to reintroduction </w:t>
      </w:r>
      <w:r w:rsidRPr="00C41913">
        <w:rPr>
          <w:rFonts w:ascii="Arial" w:hAnsi="Arial" w:cs="Arial"/>
          <w:sz w:val="24"/>
          <w:szCs w:val="24"/>
        </w:rPr>
        <w:t>from 2014 to 2023</w:t>
      </w:r>
    </w:p>
    <w:p w14:paraId="758C39F1"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 xml:space="preserve">Tribes’ (mostly) and others’ Phase 1 work, including habitat assessments, fish releases, passage assessments elsewhere </w:t>
      </w:r>
    </w:p>
    <w:p w14:paraId="1F97DBBF"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Phase 1 report; favorable review by Independent Scientific Advisory Board (ISAB)</w:t>
      </w:r>
    </w:p>
    <w:p w14:paraId="1FD5F858"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Phase 2 Implementation Plan (P2IP), with favorable review by ISAB</w:t>
      </w:r>
    </w:p>
    <w:p w14:paraId="6EA50628"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 xml:space="preserve">federal agencies not overly helpful for </w:t>
      </w:r>
      <w:proofErr w:type="spellStart"/>
      <w:r w:rsidRPr="00C41913">
        <w:rPr>
          <w:rFonts w:ascii="Arial" w:hAnsi="Arial" w:cs="Arial"/>
          <w:sz w:val="24"/>
          <w:szCs w:val="24"/>
        </w:rPr>
        <w:t>awhile</w:t>
      </w:r>
      <w:proofErr w:type="spellEnd"/>
      <w:r w:rsidRPr="00C41913">
        <w:rPr>
          <w:rFonts w:ascii="Arial" w:hAnsi="Arial" w:cs="Arial"/>
          <w:sz w:val="24"/>
          <w:szCs w:val="24"/>
        </w:rPr>
        <w:t xml:space="preserve">; lot of talk (forum), but not a lot </w:t>
      </w:r>
      <w:proofErr w:type="gramStart"/>
      <w:r w:rsidRPr="00C41913">
        <w:rPr>
          <w:rFonts w:ascii="Arial" w:hAnsi="Arial" w:cs="Arial"/>
          <w:sz w:val="24"/>
          <w:szCs w:val="24"/>
        </w:rPr>
        <w:t>of  active</w:t>
      </w:r>
      <w:proofErr w:type="gramEnd"/>
      <w:r w:rsidRPr="00C41913">
        <w:rPr>
          <w:rFonts w:ascii="Arial" w:hAnsi="Arial" w:cs="Arial"/>
          <w:sz w:val="24"/>
          <w:szCs w:val="24"/>
        </w:rPr>
        <w:t>, hard support</w:t>
      </w:r>
    </w:p>
    <w:p w14:paraId="4BEA2398"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2020 CRSO EIS largely ignores both – even as it describes in preferred alternative all the expected work for fish and wildlife</w:t>
      </w:r>
    </w:p>
    <w:p w14:paraId="706449D2"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Spokane and Coeur d’Alene Tribes challenge 2020 CRSO EIS and other decisions in court</w:t>
      </w:r>
    </w:p>
    <w:p w14:paraId="5270E1B1" w14:textId="77777777" w:rsidR="0062655F" w:rsidRPr="00C41913" w:rsidRDefault="0062655F" w:rsidP="0062655F"/>
    <w:p w14:paraId="4F8F2C6D" w14:textId="77777777" w:rsidR="0062655F" w:rsidRPr="00C41913" w:rsidRDefault="0062655F" w:rsidP="0062655F">
      <w:pPr>
        <w:pStyle w:val="ListParagraph"/>
        <w:numPr>
          <w:ilvl w:val="0"/>
          <w:numId w:val="17"/>
        </w:numPr>
        <w:spacing w:after="0"/>
        <w:ind w:left="360"/>
        <w:rPr>
          <w:rFonts w:ascii="Arial" w:hAnsi="Arial" w:cs="Arial"/>
          <w:sz w:val="24"/>
          <w:szCs w:val="24"/>
        </w:rPr>
      </w:pPr>
      <w:r w:rsidRPr="00C41913">
        <w:rPr>
          <w:rFonts w:ascii="Arial" w:hAnsi="Arial" w:cs="Arial"/>
          <w:sz w:val="24"/>
          <w:szCs w:val="24"/>
        </w:rPr>
        <w:t>but with change in Administrations and serious negotiations, P2IP implementation agreement/MOU emerges in Sept 2023</w:t>
      </w:r>
    </w:p>
    <w:p w14:paraId="42A8255E"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United States government and three Tribes - Spokane Tribe of Indians, Coeur d’Alene Tribe, and Confederated Tribes of the Colville Reservation</w:t>
      </w:r>
    </w:p>
    <w:p w14:paraId="47AE63D6"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agreed together on “commitments regarding funding and implementation of the P2IP, a scientific and stepwise approach to test the feasibility of, and ultimately to implement, the reintroduction of anadromous salmonids in blocked area habitats in the Upper Columbia River Basin above Chief Joseph Dam.”</w:t>
      </w:r>
    </w:p>
    <w:p w14:paraId="0838D6AC"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Bonneville to provide $10/million year for 20 years or $200</w:t>
      </w:r>
    </w:p>
    <w:p w14:paraId="0790345E"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lastRenderedPageBreak/>
        <w:t>other federal agencies will work to secure other funds to make the total closer to $300</w:t>
      </w:r>
    </w:p>
    <w:p w14:paraId="4235B03F"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w:t>
      </w:r>
      <w:proofErr w:type="gramStart"/>
      <w:r w:rsidRPr="00C41913">
        <w:rPr>
          <w:rFonts w:ascii="Arial" w:hAnsi="Arial" w:cs="Arial"/>
          <w:sz w:val="24"/>
          <w:szCs w:val="24"/>
        </w:rPr>
        <w:t>whole</w:t>
      </w:r>
      <w:proofErr w:type="gramEnd"/>
      <w:r w:rsidRPr="00C41913">
        <w:rPr>
          <w:rFonts w:ascii="Arial" w:hAnsi="Arial" w:cs="Arial"/>
          <w:sz w:val="24"/>
          <w:szCs w:val="24"/>
        </w:rPr>
        <w:t xml:space="preserve"> of government” approach</w:t>
      </w:r>
    </w:p>
    <w:p w14:paraId="20B74046"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not intended to materially change Grand Coulee operations or configuration</w:t>
      </w:r>
    </w:p>
    <w:p w14:paraId="312979AC"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also agreed to “work in good faith to develop short and long-term agreements with the Spokane and Coeur d’Alene Tribes that address Tribal needs, such as funding a portfolio of projects including, but not limited to, restoring fish habitat, improving migratory passage in tributary streams, securing water for instream protection, and purchasing lands for conservation and habitat restoration”</w:t>
      </w:r>
    </w:p>
    <w:p w14:paraId="1F2D96D3"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provisions for dispute resolution and early termination</w:t>
      </w:r>
    </w:p>
    <w:p w14:paraId="32FFE03D"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agreed not to litigate claims for the duration of the agreement; followed by joint motion to court to stay litigation</w:t>
      </w:r>
    </w:p>
    <w:p w14:paraId="1D4A57DC"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MOU/settlement is NOT entered or adopted as court order/court decree/consent decree – so not judicially enforceable</w:t>
      </w:r>
    </w:p>
    <w:p w14:paraId="48194247"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other details</w:t>
      </w:r>
    </w:p>
    <w:p w14:paraId="0C106FD8" w14:textId="77777777" w:rsidR="0062655F" w:rsidRPr="00C41913" w:rsidRDefault="0062655F" w:rsidP="0062655F"/>
    <w:p w14:paraId="6D9F60F9" w14:textId="77777777" w:rsidR="0062655F" w:rsidRPr="00C41913" w:rsidRDefault="0062655F" w:rsidP="0062655F"/>
    <w:p w14:paraId="16581071" w14:textId="77777777" w:rsidR="0062655F" w:rsidRPr="00C41913" w:rsidRDefault="0062655F" w:rsidP="0062655F">
      <w:pPr>
        <w:rPr>
          <w:b/>
          <w:bCs/>
        </w:rPr>
      </w:pPr>
      <w:r w:rsidRPr="00C41913">
        <w:rPr>
          <w:b/>
          <w:bCs/>
        </w:rPr>
        <w:t>US Government Commitments with Six Sovereigns (Dec 2023)</w:t>
      </w:r>
    </w:p>
    <w:p w14:paraId="4B7B8CC0" w14:textId="77777777" w:rsidR="0062655F" w:rsidRPr="00C41913" w:rsidRDefault="0062655F" w:rsidP="0062655F"/>
    <w:p w14:paraId="5DD38973" w14:textId="77777777" w:rsidR="0062655F" w:rsidRPr="00C41913" w:rsidRDefault="0062655F" w:rsidP="0062655F">
      <w:pPr>
        <w:pStyle w:val="ListParagraph"/>
        <w:numPr>
          <w:ilvl w:val="0"/>
          <w:numId w:val="18"/>
        </w:numPr>
        <w:spacing w:after="0"/>
        <w:rPr>
          <w:rFonts w:ascii="Arial" w:hAnsi="Arial" w:cs="Arial"/>
          <w:sz w:val="24"/>
          <w:szCs w:val="24"/>
        </w:rPr>
      </w:pPr>
      <w:r w:rsidRPr="00C41913">
        <w:rPr>
          <w:rFonts w:ascii="Arial" w:hAnsi="Arial" w:cs="Arial"/>
          <w:sz w:val="24"/>
          <w:szCs w:val="24"/>
        </w:rPr>
        <w:t>six entities form a group that calls itself the “Six Sovereigns” – Nez Perce Tribe, Confederated Tribes of the Umatilla Indian Reservation, Confederated Tribes of the Warm Spring Reservation, Yakama Nation, State of Oregon, State of Washington</w:t>
      </w:r>
    </w:p>
    <w:p w14:paraId="174CE99B"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Six Sovereigns produce a “Columbia Basin Restoration Initiative” (CBRI) – intended to “provides a framework for a durable long-term strategy that restores salmon and other native fish populations to healthy and abundant levels, ensures a clean energy future, supports local and regional economic resilience, restores ecosystem function and honors longstanding unmet commitments to Tribal Nations”</w:t>
      </w:r>
    </w:p>
    <w:p w14:paraId="7CAA9734" w14:textId="77777777" w:rsidR="0062655F" w:rsidRPr="00C41913" w:rsidRDefault="0062655F" w:rsidP="0062655F"/>
    <w:p w14:paraId="37779310" w14:textId="77777777" w:rsidR="0062655F" w:rsidRPr="00C41913" w:rsidRDefault="0062655F" w:rsidP="0062655F">
      <w:pPr>
        <w:pStyle w:val="ListParagraph"/>
        <w:numPr>
          <w:ilvl w:val="0"/>
          <w:numId w:val="18"/>
        </w:numPr>
        <w:spacing w:after="0"/>
        <w:rPr>
          <w:rFonts w:ascii="Arial" w:hAnsi="Arial" w:cs="Arial"/>
          <w:sz w:val="24"/>
          <w:szCs w:val="24"/>
        </w:rPr>
      </w:pPr>
      <w:r w:rsidRPr="00C41913">
        <w:rPr>
          <w:rFonts w:ascii="Arial" w:hAnsi="Arial" w:cs="Arial"/>
          <w:sz w:val="24"/>
          <w:szCs w:val="24"/>
        </w:rPr>
        <w:t>Dec 2023 agreement to a set of “U.S. Government Commitments in Support of the “Columbia Basin Restoration Initiative” and in Partnership with the Six Sovereigns”</w:t>
      </w:r>
    </w:p>
    <w:p w14:paraId="01519952" w14:textId="77777777" w:rsidR="0062655F" w:rsidRPr="00C41913" w:rsidRDefault="0062655F" w:rsidP="0062655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based in but not the same as or as extensive as CBRI</w:t>
      </w:r>
    </w:p>
    <w:p w14:paraId="32737D5C"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also added to it an MOU that describes how the commitments will affect litigation – also has provisions for dispute resolution/early termination</w:t>
      </w:r>
    </w:p>
    <w:p w14:paraId="139D1076"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NWF plaintiff environmental groups are also a party to the MOU</w:t>
      </w:r>
    </w:p>
    <w:p w14:paraId="0B8D3C46"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explicitly a 10-year agreement, but stay of litigation to be for five years first</w:t>
      </w:r>
    </w:p>
    <w:p w14:paraId="444E0A81" w14:textId="77777777" w:rsidR="0062655F" w:rsidRPr="00C41913" w:rsidRDefault="0062655F" w:rsidP="0062655F">
      <w:pPr>
        <w:pStyle w:val="ListParagraph"/>
        <w:numPr>
          <w:ilvl w:val="1"/>
          <w:numId w:val="17"/>
        </w:numPr>
        <w:spacing w:after="0"/>
        <w:ind w:left="900"/>
        <w:rPr>
          <w:rFonts w:ascii="Arial" w:hAnsi="Arial" w:cs="Arial"/>
          <w:sz w:val="24"/>
          <w:szCs w:val="24"/>
        </w:rPr>
      </w:pPr>
      <w:r w:rsidRPr="00C41913">
        <w:rPr>
          <w:rFonts w:ascii="Arial" w:hAnsi="Arial" w:cs="Arial"/>
          <w:sz w:val="24"/>
          <w:szCs w:val="24"/>
        </w:rPr>
        <w:t>joint motion for an extended stay then developed and presented to court – five-year extension of stay which will can be followed by another five years</w:t>
      </w:r>
    </w:p>
    <w:p w14:paraId="00F5DA7C"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MOU/CBRI/US commitments are NOT entered or adopted as court order/court decree/consent decree, so not judicially enforceable</w:t>
      </w:r>
    </w:p>
    <w:p w14:paraId="72CB7A25"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disparate set of commitments, but can be grouped into four or five categories</w:t>
      </w:r>
    </w:p>
    <w:p w14:paraId="0319D901" w14:textId="77777777" w:rsidR="0062655F" w:rsidRPr="00C41913" w:rsidRDefault="0062655F" w:rsidP="0062655F"/>
    <w:p w14:paraId="11A6A840" w14:textId="77777777" w:rsidR="0062655F" w:rsidRPr="00C41913" w:rsidRDefault="0062655F" w:rsidP="0062655F">
      <w:pPr>
        <w:pStyle w:val="ListParagraph"/>
        <w:numPr>
          <w:ilvl w:val="0"/>
          <w:numId w:val="18"/>
        </w:numPr>
        <w:spacing w:after="0"/>
        <w:rPr>
          <w:rFonts w:ascii="Arial" w:hAnsi="Arial" w:cs="Arial"/>
          <w:sz w:val="24"/>
          <w:szCs w:val="24"/>
        </w:rPr>
      </w:pPr>
      <w:r w:rsidRPr="00C41913">
        <w:rPr>
          <w:rFonts w:ascii="Arial" w:hAnsi="Arial" w:cs="Arial"/>
          <w:sz w:val="24"/>
          <w:szCs w:val="24"/>
        </w:rPr>
        <w:t>“Path to breaching”</w:t>
      </w:r>
    </w:p>
    <w:p w14:paraId="41914B29"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can’t promise or deliver breaching of Lower Snake dams; requires Congress</w:t>
      </w:r>
    </w:p>
    <w:p w14:paraId="7DFD3F4E" w14:textId="77777777" w:rsidR="0062655F" w:rsidRPr="00C41913" w:rsidRDefault="0062655F" w:rsidP="00A5289F">
      <w:pPr>
        <w:pStyle w:val="ListParagraph"/>
        <w:numPr>
          <w:ilvl w:val="1"/>
          <w:numId w:val="18"/>
        </w:numPr>
        <w:spacing w:after="0"/>
        <w:ind w:left="900"/>
        <w:rPr>
          <w:rFonts w:ascii="Arial" w:hAnsi="Arial" w:cs="Arial"/>
          <w:sz w:val="24"/>
          <w:szCs w:val="24"/>
        </w:rPr>
      </w:pPr>
      <w:proofErr w:type="gramStart"/>
      <w:r w:rsidRPr="00C41913">
        <w:rPr>
          <w:rFonts w:ascii="Arial" w:hAnsi="Arial" w:cs="Arial"/>
          <w:sz w:val="24"/>
          <w:szCs w:val="24"/>
        </w:rPr>
        <w:lastRenderedPageBreak/>
        <w:t>so</w:t>
      </w:r>
      <w:proofErr w:type="gramEnd"/>
      <w:r w:rsidRPr="00C41913">
        <w:rPr>
          <w:rFonts w:ascii="Arial" w:hAnsi="Arial" w:cs="Arial"/>
          <w:sz w:val="24"/>
          <w:szCs w:val="24"/>
        </w:rPr>
        <w:t xml:space="preserve"> committing to a set of actions to prepare in case Congress will make a decision to breach</w:t>
      </w:r>
    </w:p>
    <w:p w14:paraId="77728440"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 xml:space="preserve">centerpiece </w:t>
      </w:r>
      <w:proofErr w:type="gramStart"/>
      <w:r w:rsidRPr="00C41913">
        <w:rPr>
          <w:rFonts w:ascii="Arial" w:hAnsi="Arial" w:cs="Arial"/>
          <w:sz w:val="24"/>
          <w:szCs w:val="24"/>
        </w:rPr>
        <w:t>are</w:t>
      </w:r>
      <w:proofErr w:type="gramEnd"/>
      <w:r w:rsidRPr="00C41913">
        <w:rPr>
          <w:rFonts w:ascii="Arial" w:hAnsi="Arial" w:cs="Arial"/>
          <w:sz w:val="24"/>
          <w:szCs w:val="24"/>
        </w:rPr>
        <w:t xml:space="preserve"> a set of energy commitments – mostly DOE</w:t>
      </w:r>
    </w:p>
    <w:p w14:paraId="7F488142"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especially, support for tribal clean energy resource development</w:t>
      </w:r>
    </w:p>
    <w:p w14:paraId="1B93C47A"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associated regional energy planning</w:t>
      </w:r>
    </w:p>
    <w:p w14:paraId="0EE54DC5" w14:textId="77777777" w:rsidR="0062655F" w:rsidRPr="00C41913" w:rsidRDefault="0062655F" w:rsidP="0062655F">
      <w:pPr>
        <w:pStyle w:val="ListParagraph"/>
        <w:numPr>
          <w:ilvl w:val="2"/>
          <w:numId w:val="17"/>
        </w:numPr>
        <w:spacing w:after="0"/>
        <w:ind w:left="1260"/>
        <w:rPr>
          <w:rFonts w:ascii="Arial" w:hAnsi="Arial" w:cs="Arial"/>
          <w:sz w:val="24"/>
          <w:szCs w:val="24"/>
        </w:rPr>
      </w:pPr>
      <w:r w:rsidRPr="00C41913">
        <w:rPr>
          <w:rFonts w:ascii="Arial" w:hAnsi="Arial" w:cs="Arial"/>
          <w:sz w:val="24"/>
          <w:szCs w:val="24"/>
        </w:rPr>
        <w:t>“accounting” for new resources as replacement resources</w:t>
      </w:r>
    </w:p>
    <w:p w14:paraId="0DE5430E" w14:textId="77777777" w:rsidR="0062655F" w:rsidRPr="00C41913" w:rsidRDefault="0062655F" w:rsidP="0062655F">
      <w:pPr>
        <w:pStyle w:val="ListParagraph"/>
        <w:numPr>
          <w:ilvl w:val="2"/>
          <w:numId w:val="17"/>
        </w:numPr>
        <w:spacing w:after="0"/>
        <w:ind w:left="1260"/>
        <w:rPr>
          <w:rFonts w:ascii="Arial" w:hAnsi="Arial" w:cs="Arial"/>
          <w:sz w:val="24"/>
          <w:szCs w:val="24"/>
        </w:rPr>
      </w:pPr>
      <w:r w:rsidRPr="00C41913">
        <w:rPr>
          <w:rFonts w:ascii="Arial" w:hAnsi="Arial" w:cs="Arial"/>
          <w:sz w:val="24"/>
          <w:szCs w:val="24"/>
        </w:rPr>
        <w:t>Bonneville?</w:t>
      </w:r>
    </w:p>
    <w:p w14:paraId="2F4A2450" w14:textId="77777777" w:rsidR="0062655F" w:rsidRPr="00C41913" w:rsidRDefault="0062655F" w:rsidP="0062655F">
      <w:pPr>
        <w:pStyle w:val="ListParagraph"/>
        <w:numPr>
          <w:ilvl w:val="2"/>
          <w:numId w:val="17"/>
        </w:numPr>
        <w:spacing w:after="0"/>
        <w:ind w:left="1260"/>
        <w:rPr>
          <w:rFonts w:ascii="Arial" w:hAnsi="Arial" w:cs="Arial"/>
          <w:sz w:val="24"/>
          <w:szCs w:val="24"/>
        </w:rPr>
      </w:pPr>
      <w:r w:rsidRPr="00C41913">
        <w:rPr>
          <w:rFonts w:ascii="Arial" w:hAnsi="Arial" w:cs="Arial"/>
          <w:sz w:val="24"/>
          <w:szCs w:val="24"/>
        </w:rPr>
        <w:t>mix/mashup of clean energy transition (especially Washington and Oregon needs); support for tribes to be part of energy system and transition; lower Snake River dam removal replacement</w:t>
      </w:r>
    </w:p>
    <w:p w14:paraId="4A5FDBB1"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DOE IRA/infrastructure money probable source for most</w:t>
      </w:r>
    </w:p>
    <w:p w14:paraId="5A7BEBD7"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others</w:t>
      </w:r>
    </w:p>
    <w:p w14:paraId="5F138F70"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river navigation transport; recreation (Corps)</w:t>
      </w:r>
    </w:p>
    <w:p w14:paraId="0C72B0F4" w14:textId="77777777" w:rsidR="0062655F" w:rsidRPr="00C41913" w:rsidRDefault="0062655F" w:rsidP="009B7115">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water supply – irrigation/municipal (Reclamation)</w:t>
      </w:r>
    </w:p>
    <w:p w14:paraId="26FB3E62" w14:textId="77777777" w:rsidR="0062655F" w:rsidRPr="00C41913" w:rsidRDefault="0062655F" w:rsidP="0062655F"/>
    <w:p w14:paraId="0F9502DB" w14:textId="77777777" w:rsidR="0062655F" w:rsidRPr="00C41913" w:rsidRDefault="0062655F" w:rsidP="0062655F">
      <w:pPr>
        <w:pStyle w:val="ListParagraph"/>
        <w:numPr>
          <w:ilvl w:val="0"/>
          <w:numId w:val="18"/>
        </w:numPr>
        <w:spacing w:after="0"/>
        <w:rPr>
          <w:rFonts w:ascii="Arial" w:hAnsi="Arial" w:cs="Arial"/>
          <w:sz w:val="24"/>
          <w:szCs w:val="24"/>
        </w:rPr>
      </w:pPr>
      <w:r w:rsidRPr="00C41913">
        <w:rPr>
          <w:rFonts w:ascii="Arial" w:hAnsi="Arial" w:cs="Arial"/>
          <w:sz w:val="24"/>
          <w:szCs w:val="24"/>
        </w:rPr>
        <w:t>Funding commitments</w:t>
      </w:r>
    </w:p>
    <w:p w14:paraId="629B4973"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 xml:space="preserve">in essence, additional funding for all the traditional categories – dam modifications; habitat improvements in mainstem, </w:t>
      </w:r>
      <w:proofErr w:type="spellStart"/>
      <w:r w:rsidRPr="00C41913">
        <w:rPr>
          <w:rFonts w:ascii="Arial" w:hAnsi="Arial" w:cs="Arial"/>
          <w:sz w:val="24"/>
          <w:szCs w:val="24"/>
        </w:rPr>
        <w:t>tribs</w:t>
      </w:r>
      <w:proofErr w:type="spellEnd"/>
      <w:r w:rsidRPr="00C41913">
        <w:rPr>
          <w:rFonts w:ascii="Arial" w:hAnsi="Arial" w:cs="Arial"/>
          <w:sz w:val="24"/>
          <w:szCs w:val="24"/>
        </w:rPr>
        <w:t>, estuary; artificial production (especially upgrades); ocean research</w:t>
      </w:r>
    </w:p>
    <w:p w14:paraId="7A5D9BF6"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some of it involves specific Bonneville/ratepayer contributions, but otherwise a commitment to bring substantially more non-ratepayer contributions, that is, general taxpayer funds</w:t>
      </w:r>
    </w:p>
    <w:p w14:paraId="74352EBD"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 xml:space="preserve">also, a mix of funds/actions already committed (including things not involving Six </w:t>
      </w:r>
      <w:proofErr w:type="spellStart"/>
      <w:r w:rsidRPr="00C41913">
        <w:rPr>
          <w:rFonts w:ascii="Arial" w:hAnsi="Arial" w:cs="Arial"/>
          <w:sz w:val="24"/>
          <w:szCs w:val="24"/>
        </w:rPr>
        <w:t>Sovs</w:t>
      </w:r>
      <w:proofErr w:type="spellEnd"/>
      <w:r w:rsidRPr="00C41913">
        <w:rPr>
          <w:rFonts w:ascii="Arial" w:hAnsi="Arial" w:cs="Arial"/>
          <w:sz w:val="24"/>
          <w:szCs w:val="24"/>
        </w:rPr>
        <w:t xml:space="preserve">); specific additional commitments of funds; and promises to seek future funds </w:t>
      </w:r>
    </w:p>
    <w:p w14:paraId="374F0AF6" w14:textId="77777777" w:rsidR="0062655F" w:rsidRPr="00C41913" w:rsidRDefault="0062655F" w:rsidP="002932F9">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Bonneville</w:t>
      </w:r>
    </w:p>
    <w:p w14:paraId="6E645469" w14:textId="77777777" w:rsidR="0062655F" w:rsidRPr="00C41913" w:rsidRDefault="0062655F" w:rsidP="002932F9">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Corps</w:t>
      </w:r>
    </w:p>
    <w:p w14:paraId="1A072035" w14:textId="77777777" w:rsidR="0062655F" w:rsidRPr="00C41913" w:rsidRDefault="0062655F" w:rsidP="002932F9">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NOAA</w:t>
      </w:r>
    </w:p>
    <w:p w14:paraId="1E6B3FA3" w14:textId="77777777" w:rsidR="0062655F" w:rsidRPr="00C41913" w:rsidRDefault="0062655F" w:rsidP="002932F9">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Interior/Reclamation/FWS</w:t>
      </w:r>
    </w:p>
    <w:p w14:paraId="13751467" w14:textId="77777777" w:rsidR="0062655F" w:rsidRPr="00C41913" w:rsidRDefault="0062655F" w:rsidP="002932F9">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EPA</w:t>
      </w:r>
    </w:p>
    <w:p w14:paraId="0D9C7223" w14:textId="77777777" w:rsidR="0062655F" w:rsidRPr="00C41913" w:rsidRDefault="0062655F" w:rsidP="0062655F"/>
    <w:p w14:paraId="45D35D77" w14:textId="77777777" w:rsidR="0062655F" w:rsidRPr="00C41913" w:rsidRDefault="0062655F" w:rsidP="0062655F">
      <w:pPr>
        <w:pStyle w:val="ListParagraph"/>
        <w:numPr>
          <w:ilvl w:val="0"/>
          <w:numId w:val="18"/>
        </w:numPr>
        <w:spacing w:after="0"/>
        <w:rPr>
          <w:rFonts w:ascii="Arial" w:hAnsi="Arial" w:cs="Arial"/>
          <w:sz w:val="24"/>
          <w:szCs w:val="24"/>
        </w:rPr>
      </w:pPr>
      <w:r w:rsidRPr="00C41913">
        <w:rPr>
          <w:rFonts w:ascii="Arial" w:hAnsi="Arial" w:cs="Arial"/>
          <w:sz w:val="24"/>
          <w:szCs w:val="24"/>
        </w:rPr>
        <w:t>Program/contracting reform</w:t>
      </w:r>
    </w:p>
    <w:p w14:paraId="58B57346"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broadly written to some extent and in general to be led by NOAA and FWS, but at bottom seems to be mostly about transforming Bonneville from an active manager of contracts/projects into a granter/funder, and transfer more control to fish and wildlife agencies and tribes</w:t>
      </w:r>
    </w:p>
    <w:p w14:paraId="4414247D"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Bonneville pilot project commitment</w:t>
      </w:r>
    </w:p>
    <w:p w14:paraId="53C8A401"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broader effort – work with other sovereigns; Council too</w:t>
      </w:r>
    </w:p>
    <w:p w14:paraId="534896F9" w14:textId="77777777" w:rsidR="0062655F" w:rsidRPr="00C41913" w:rsidRDefault="0062655F" w:rsidP="0062655F"/>
    <w:p w14:paraId="22D4BBC8" w14:textId="77777777" w:rsidR="0062655F" w:rsidRPr="00C41913" w:rsidRDefault="0062655F" w:rsidP="0062655F">
      <w:pPr>
        <w:pStyle w:val="ListParagraph"/>
        <w:numPr>
          <w:ilvl w:val="0"/>
          <w:numId w:val="18"/>
        </w:numPr>
        <w:spacing w:after="0"/>
        <w:rPr>
          <w:rFonts w:ascii="Arial" w:hAnsi="Arial" w:cs="Arial"/>
          <w:sz w:val="24"/>
          <w:szCs w:val="24"/>
        </w:rPr>
      </w:pPr>
      <w:r w:rsidRPr="00C41913">
        <w:rPr>
          <w:rFonts w:ascii="Arial" w:hAnsi="Arial" w:cs="Arial"/>
          <w:sz w:val="24"/>
          <w:szCs w:val="24"/>
        </w:rPr>
        <w:t>Operations: ten-year “durable” set of operations; revised current operations</w:t>
      </w:r>
    </w:p>
    <w:p w14:paraId="56349BA8" w14:textId="37405B64"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increased spring juvenile passage spill – “125%</w:t>
      </w:r>
      <w:r w:rsidR="005B349D">
        <w:rPr>
          <w:rFonts w:ascii="Arial" w:hAnsi="Arial" w:cs="Arial"/>
          <w:sz w:val="24"/>
          <w:szCs w:val="24"/>
        </w:rPr>
        <w:t>”</w:t>
      </w:r>
      <w:r w:rsidRPr="00C41913">
        <w:rPr>
          <w:rFonts w:ascii="Arial" w:hAnsi="Arial" w:cs="Arial"/>
          <w:sz w:val="24"/>
          <w:szCs w:val="24"/>
        </w:rPr>
        <w:t xml:space="preserve"> level – no more spring “flex spill”</w:t>
      </w:r>
    </w:p>
    <w:p w14:paraId="3B44581E"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summer spill can be reduced beginning in August – benefits/issues</w:t>
      </w:r>
    </w:p>
    <w:p w14:paraId="3D72768B" w14:textId="77777777" w:rsidR="002932F9"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lower river pool operations during spring/summer migration season</w:t>
      </w:r>
    </w:p>
    <w:p w14:paraId="6270F849" w14:textId="23FB77C1" w:rsidR="002932F9" w:rsidRDefault="0062655F" w:rsidP="002932F9">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lastRenderedPageBreak/>
        <w:t xml:space="preserve"> no </w:t>
      </w:r>
      <w:r w:rsidR="002932F9">
        <w:rPr>
          <w:rFonts w:ascii="Arial" w:hAnsi="Arial" w:cs="Arial"/>
          <w:sz w:val="24"/>
          <w:szCs w:val="24"/>
        </w:rPr>
        <w:t xml:space="preserve">official </w:t>
      </w:r>
      <w:r w:rsidRPr="00C41913">
        <w:rPr>
          <w:rFonts w:ascii="Arial" w:hAnsi="Arial" w:cs="Arial"/>
          <w:sz w:val="24"/>
          <w:szCs w:val="24"/>
        </w:rPr>
        <w:t>change</w:t>
      </w:r>
      <w:r w:rsidR="002932F9">
        <w:rPr>
          <w:rFonts w:ascii="Arial" w:hAnsi="Arial" w:cs="Arial"/>
          <w:sz w:val="24"/>
          <w:szCs w:val="24"/>
        </w:rPr>
        <w:t>, except:</w:t>
      </w:r>
    </w:p>
    <w:p w14:paraId="47F559CE" w14:textId="71D72DBF" w:rsidR="0062655F" w:rsidRPr="00C41913" w:rsidRDefault="0062655F" w:rsidP="002932F9">
      <w:pPr>
        <w:pStyle w:val="ListParagraph"/>
        <w:numPr>
          <w:ilvl w:val="2"/>
          <w:numId w:val="17"/>
        </w:numPr>
        <w:spacing w:after="0"/>
        <w:ind w:left="1440"/>
        <w:rPr>
          <w:rFonts w:ascii="Arial" w:hAnsi="Arial" w:cs="Arial"/>
          <w:sz w:val="24"/>
          <w:szCs w:val="24"/>
        </w:rPr>
      </w:pPr>
      <w:r w:rsidRPr="00C41913">
        <w:rPr>
          <w:rFonts w:ascii="Arial" w:hAnsi="Arial" w:cs="Arial"/>
          <w:sz w:val="24"/>
          <w:szCs w:val="24"/>
        </w:rPr>
        <w:t>2020 EIS/</w:t>
      </w:r>
      <w:proofErr w:type="spellStart"/>
      <w:r w:rsidRPr="00C41913">
        <w:rPr>
          <w:rFonts w:ascii="Arial" w:hAnsi="Arial" w:cs="Arial"/>
          <w:sz w:val="24"/>
          <w:szCs w:val="24"/>
        </w:rPr>
        <w:t>BiOp</w:t>
      </w:r>
      <w:proofErr w:type="spellEnd"/>
      <w:r w:rsidRPr="00C41913">
        <w:rPr>
          <w:rFonts w:ascii="Arial" w:hAnsi="Arial" w:cs="Arial"/>
          <w:sz w:val="24"/>
          <w:szCs w:val="24"/>
        </w:rPr>
        <w:t xml:space="preserve"> a</w:t>
      </w:r>
      <w:r w:rsidR="002932F9">
        <w:rPr>
          <w:rFonts w:ascii="Arial" w:hAnsi="Arial" w:cs="Arial"/>
          <w:sz w:val="24"/>
          <w:szCs w:val="24"/>
        </w:rPr>
        <w:t>lready a</w:t>
      </w:r>
      <w:r w:rsidRPr="00C41913">
        <w:rPr>
          <w:rFonts w:ascii="Arial" w:hAnsi="Arial" w:cs="Arial"/>
          <w:sz w:val="24"/>
          <w:szCs w:val="24"/>
        </w:rPr>
        <w:t>llowed some relaxation</w:t>
      </w:r>
      <w:r w:rsidR="002932F9">
        <w:rPr>
          <w:rFonts w:ascii="Arial" w:hAnsi="Arial" w:cs="Arial"/>
          <w:sz w:val="24"/>
          <w:szCs w:val="24"/>
        </w:rPr>
        <w:t>; more here, with increases in minimum generation</w:t>
      </w:r>
      <w:r w:rsidR="005B349D">
        <w:rPr>
          <w:rFonts w:ascii="Arial" w:hAnsi="Arial" w:cs="Arial"/>
          <w:sz w:val="24"/>
          <w:szCs w:val="24"/>
        </w:rPr>
        <w:t xml:space="preserve"> flows</w:t>
      </w:r>
    </w:p>
    <w:p w14:paraId="2A8304AF"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fall/winter spill – relatively new in last few years; stays</w:t>
      </w:r>
    </w:p>
    <w:p w14:paraId="7F578709" w14:textId="77777777" w:rsidR="0062655F"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no change to storage project operations</w:t>
      </w:r>
    </w:p>
    <w:p w14:paraId="31AFA98E" w14:textId="59A289BB" w:rsidR="005B349D" w:rsidRPr="00C41913" w:rsidRDefault="005B349D" w:rsidP="005B349D">
      <w:pPr>
        <w:pStyle w:val="ListParagraph"/>
        <w:numPr>
          <w:ilvl w:val="2"/>
          <w:numId w:val="17"/>
        </w:numPr>
        <w:spacing w:after="0"/>
        <w:ind w:left="1440"/>
        <w:rPr>
          <w:rFonts w:ascii="Arial" w:hAnsi="Arial" w:cs="Arial"/>
          <w:sz w:val="24"/>
          <w:szCs w:val="24"/>
        </w:rPr>
      </w:pPr>
      <w:r>
        <w:rPr>
          <w:rFonts w:ascii="Arial" w:hAnsi="Arial" w:cs="Arial"/>
          <w:sz w:val="24"/>
          <w:szCs w:val="24"/>
        </w:rPr>
        <w:t>but,</w:t>
      </w:r>
      <w:r w:rsidR="0083157E">
        <w:rPr>
          <w:rFonts w:ascii="Arial" w:hAnsi="Arial" w:cs="Arial"/>
          <w:sz w:val="24"/>
          <w:szCs w:val="24"/>
        </w:rPr>
        <w:t xml:space="preserve"> </w:t>
      </w:r>
      <w:r>
        <w:rPr>
          <w:rFonts w:ascii="Arial" w:hAnsi="Arial" w:cs="Arial"/>
          <w:sz w:val="24"/>
          <w:szCs w:val="24"/>
        </w:rPr>
        <w:t>what about effects of Columbia River Treaty possible change in flood risk management?</w:t>
      </w:r>
      <w:r w:rsidR="00B74FE3">
        <w:rPr>
          <w:rFonts w:ascii="Arial" w:hAnsi="Arial" w:cs="Arial"/>
          <w:sz w:val="24"/>
          <w:szCs w:val="24"/>
        </w:rPr>
        <w:t xml:space="preserve"> not considered here</w:t>
      </w:r>
    </w:p>
    <w:p w14:paraId="5BE45FD3"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studies</w:t>
      </w:r>
    </w:p>
    <w:p w14:paraId="633D0FB8"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additional capital investments in dam modifications</w:t>
      </w:r>
    </w:p>
    <w:p w14:paraId="3890FF87"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commitment to discuss long-term plan</w:t>
      </w:r>
    </w:p>
    <w:p w14:paraId="2DA7B749" w14:textId="77777777" w:rsidR="0062655F" w:rsidRPr="00C41913" w:rsidRDefault="0062655F" w:rsidP="0062655F"/>
    <w:p w14:paraId="162F2BD0" w14:textId="77777777" w:rsidR="0062655F" w:rsidRPr="00C41913" w:rsidRDefault="0062655F" w:rsidP="0062655F">
      <w:pPr>
        <w:pStyle w:val="ListParagraph"/>
        <w:numPr>
          <w:ilvl w:val="0"/>
          <w:numId w:val="18"/>
        </w:numPr>
        <w:spacing w:after="0"/>
        <w:rPr>
          <w:rFonts w:ascii="Arial" w:hAnsi="Arial" w:cs="Arial"/>
          <w:sz w:val="24"/>
          <w:szCs w:val="24"/>
        </w:rPr>
      </w:pPr>
      <w:r w:rsidRPr="00C41913">
        <w:rPr>
          <w:rFonts w:ascii="Arial" w:hAnsi="Arial" w:cs="Arial"/>
          <w:sz w:val="24"/>
          <w:szCs w:val="24"/>
        </w:rPr>
        <w:t>Miscellaneous, including:</w:t>
      </w:r>
    </w:p>
    <w:p w14:paraId="2AB07832"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environmental compliance</w:t>
      </w:r>
    </w:p>
    <w:p w14:paraId="4EFFE164"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budgets</w:t>
      </w:r>
    </w:p>
    <w:p w14:paraId="4976A141"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continued engagement</w:t>
      </w:r>
    </w:p>
    <w:p w14:paraId="671511FA" w14:textId="77777777" w:rsidR="0062655F" w:rsidRPr="00C41913" w:rsidRDefault="0062655F" w:rsidP="0062655F"/>
    <w:p w14:paraId="2E5F9C15" w14:textId="77777777" w:rsidR="0062655F" w:rsidRPr="00C41913" w:rsidRDefault="0062655F" w:rsidP="0062655F"/>
    <w:p w14:paraId="24F39990" w14:textId="77777777" w:rsidR="0062655F" w:rsidRPr="00C41913" w:rsidRDefault="0062655F" w:rsidP="0062655F">
      <w:pPr>
        <w:rPr>
          <w:b/>
          <w:bCs/>
        </w:rPr>
      </w:pPr>
      <w:r w:rsidRPr="00C41913">
        <w:rPr>
          <w:b/>
          <w:bCs/>
        </w:rPr>
        <w:t>Follow-on litigation</w:t>
      </w:r>
    </w:p>
    <w:p w14:paraId="3056EB2D" w14:textId="77777777" w:rsidR="0062655F" w:rsidRPr="00C41913" w:rsidRDefault="0062655F" w:rsidP="0062655F"/>
    <w:p w14:paraId="1188EA3A" w14:textId="77777777" w:rsidR="0062655F" w:rsidRPr="00C41913" w:rsidRDefault="0062655F" w:rsidP="0062655F">
      <w:pPr>
        <w:pStyle w:val="ListParagraph"/>
        <w:numPr>
          <w:ilvl w:val="0"/>
          <w:numId w:val="19"/>
        </w:numPr>
        <w:spacing w:after="0"/>
        <w:ind w:left="360"/>
        <w:rPr>
          <w:rFonts w:ascii="Arial" w:hAnsi="Arial" w:cs="Arial"/>
          <w:sz w:val="24"/>
          <w:szCs w:val="24"/>
        </w:rPr>
      </w:pPr>
      <w:r w:rsidRPr="00C41913">
        <w:rPr>
          <w:rFonts w:ascii="Arial" w:hAnsi="Arial" w:cs="Arial"/>
          <w:sz w:val="24"/>
          <w:szCs w:val="24"/>
        </w:rPr>
        <w:t>unhappiness and/or concerns by some about both process/results</w:t>
      </w:r>
    </w:p>
    <w:p w14:paraId="4C8E747B" w14:textId="77777777" w:rsidR="0062655F" w:rsidRPr="00C41913" w:rsidRDefault="0062655F" w:rsidP="0062655F">
      <w:pPr>
        <w:pStyle w:val="ListParagraph"/>
        <w:numPr>
          <w:ilvl w:val="0"/>
          <w:numId w:val="19"/>
        </w:numPr>
        <w:spacing w:after="0"/>
        <w:ind w:left="360"/>
        <w:rPr>
          <w:rFonts w:ascii="Arial" w:hAnsi="Arial" w:cs="Arial"/>
          <w:sz w:val="24"/>
          <w:szCs w:val="24"/>
        </w:rPr>
      </w:pPr>
      <w:r w:rsidRPr="00C41913">
        <w:rPr>
          <w:rFonts w:ascii="Arial" w:hAnsi="Arial" w:cs="Arial"/>
          <w:sz w:val="24"/>
          <w:szCs w:val="24"/>
        </w:rPr>
        <w:t>public statements from Idaho, Montana, Bonneville customer utilities and other energy entities, river navigation companies and ports, allies in Congress</w:t>
      </w:r>
    </w:p>
    <w:p w14:paraId="1017827B" w14:textId="77777777" w:rsidR="0062655F" w:rsidRPr="00C41913" w:rsidRDefault="0062655F" w:rsidP="0062655F">
      <w:pPr>
        <w:pStyle w:val="ListParagraph"/>
        <w:numPr>
          <w:ilvl w:val="0"/>
          <w:numId w:val="19"/>
        </w:numPr>
        <w:spacing w:after="0"/>
        <w:ind w:left="360"/>
        <w:rPr>
          <w:rFonts w:ascii="Arial" w:hAnsi="Arial" w:cs="Arial"/>
          <w:sz w:val="24"/>
          <w:szCs w:val="24"/>
        </w:rPr>
      </w:pPr>
      <w:r w:rsidRPr="00C41913">
        <w:rPr>
          <w:rFonts w:ascii="Arial" w:hAnsi="Arial" w:cs="Arial"/>
          <w:sz w:val="24"/>
          <w:szCs w:val="24"/>
        </w:rPr>
        <w:t>Public Power Council recently filed petition in 9th Circuit challenging Bonneville portion of commitments in larger set of US govt commitments</w:t>
      </w:r>
    </w:p>
    <w:p w14:paraId="70F55C75"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Northwest Requirements Utilities and Alliance of Western Energy Consumers filed petitions too</w:t>
      </w:r>
    </w:p>
    <w:p w14:paraId="0FE8E20D"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Pacific Northwest Generating Cooperatives – intervenes in PPC petition</w:t>
      </w:r>
    </w:p>
    <w:p w14:paraId="7434D5C6" w14:textId="77777777" w:rsidR="0062655F" w:rsidRPr="00C41913" w:rsidRDefault="0062655F" w:rsidP="00A5289F">
      <w:pPr>
        <w:pStyle w:val="ListParagraph"/>
        <w:numPr>
          <w:ilvl w:val="1"/>
          <w:numId w:val="18"/>
        </w:numPr>
        <w:spacing w:after="0"/>
        <w:ind w:left="900"/>
        <w:rPr>
          <w:rFonts w:ascii="Arial" w:hAnsi="Arial" w:cs="Arial"/>
          <w:sz w:val="24"/>
          <w:szCs w:val="24"/>
        </w:rPr>
      </w:pPr>
      <w:r w:rsidRPr="00C41913">
        <w:rPr>
          <w:rFonts w:ascii="Arial" w:hAnsi="Arial" w:cs="Arial"/>
          <w:sz w:val="24"/>
          <w:szCs w:val="24"/>
        </w:rPr>
        <w:t>issues?</w:t>
      </w:r>
    </w:p>
    <w:p w14:paraId="619BCF77" w14:textId="77777777" w:rsidR="0062655F" w:rsidRPr="00C41913" w:rsidRDefault="0062655F" w:rsidP="00CB13B9"/>
    <w:p w14:paraId="20F58B97" w14:textId="77777777" w:rsidR="0062655F" w:rsidRPr="00C41913" w:rsidRDefault="0062655F" w:rsidP="00CB13B9"/>
    <w:p w14:paraId="6F11332D" w14:textId="77777777" w:rsidR="0062655F" w:rsidRPr="00C41913" w:rsidRDefault="0062655F" w:rsidP="00CB13B9"/>
    <w:sectPr w:rsidR="0062655F" w:rsidRPr="00C41913" w:rsidSect="005F3D11">
      <w:footerReference w:type="default" r:id="rId8"/>
      <w:footerReference w:type="first" r:id="rId9"/>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0D05" w14:textId="77777777" w:rsidR="005F3D11" w:rsidRDefault="005F3D11">
      <w:r>
        <w:separator/>
      </w:r>
    </w:p>
  </w:endnote>
  <w:endnote w:type="continuationSeparator" w:id="0">
    <w:p w14:paraId="67FDA664" w14:textId="77777777" w:rsidR="005F3D11" w:rsidRDefault="005F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714515"/>
      <w:docPartObj>
        <w:docPartGallery w:val="Page Numbers (Bottom of Page)"/>
        <w:docPartUnique/>
      </w:docPartObj>
    </w:sdtPr>
    <w:sdtEndPr>
      <w:rPr>
        <w:noProof/>
      </w:rPr>
    </w:sdtEndPr>
    <w:sdtContent>
      <w:p w14:paraId="45349A57" w14:textId="02CC36CB" w:rsidR="00C41913" w:rsidRDefault="00C419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5DB62" w14:textId="77777777" w:rsidR="00C41913" w:rsidRDefault="00C41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6B68" w14:textId="77777777" w:rsidR="00F853FB" w:rsidRDefault="00F853FB" w:rsidP="00F853FB">
    <w:pPr>
      <w:tabs>
        <w:tab w:val="center" w:pos="4320"/>
        <w:tab w:val="right" w:pos="8640"/>
      </w:tabs>
      <w:rPr>
        <w:rFonts w:eastAsia="Times New Roman"/>
        <w:sz w:val="20"/>
        <w:szCs w:val="20"/>
      </w:rPr>
    </w:pPr>
  </w:p>
  <w:p w14:paraId="2410A476" w14:textId="77777777" w:rsidR="00FC4A23" w:rsidRDefault="00FC4A23" w:rsidP="00F853FB">
    <w:pPr>
      <w:tabs>
        <w:tab w:val="center" w:pos="4320"/>
        <w:tab w:val="right" w:pos="8640"/>
      </w:tabs>
      <w:rPr>
        <w:rFonts w:eastAsia="Times New Roman"/>
        <w:sz w:val="20"/>
        <w:szCs w:val="20"/>
      </w:rPr>
    </w:pPr>
  </w:p>
  <w:p w14:paraId="15BC866C" w14:textId="3B3C7030" w:rsidR="00F853FB" w:rsidRPr="00F853FB" w:rsidRDefault="00F853FB" w:rsidP="00F853FB">
    <w:pPr>
      <w:tabs>
        <w:tab w:val="center" w:pos="4320"/>
        <w:tab w:val="right" w:pos="8640"/>
      </w:tabs>
      <w:rPr>
        <w:rFonts w:eastAsia="Times New Roman"/>
        <w:sz w:val="20"/>
        <w:szCs w:val="20"/>
      </w:rPr>
    </w:pPr>
    <w:r w:rsidRPr="00F853FB">
      <w:rPr>
        <w:rFonts w:eastAsia="Times New Roman"/>
        <w:sz w:val="20"/>
        <w:szCs w:val="20"/>
      </w:rPr>
      <w:t xml:space="preserve">851 S.W. Sixth Avenue, Suite 1100                                                                         </w:t>
    </w:r>
    <w:r>
      <w:rPr>
        <w:rFonts w:eastAsia="Times New Roman"/>
        <w:sz w:val="20"/>
        <w:szCs w:val="20"/>
      </w:rPr>
      <w:t xml:space="preserve"> </w:t>
    </w:r>
    <w:r w:rsidRPr="00F853FB">
      <w:rPr>
        <w:rFonts w:eastAsia="Times New Roman"/>
        <w:sz w:val="20"/>
        <w:szCs w:val="20"/>
      </w:rPr>
      <w:t xml:space="preserve">                 </w:t>
    </w:r>
    <w:r w:rsidRPr="000855D8">
      <w:rPr>
        <w:rFonts w:eastAsia="Times New Roman"/>
        <w:b/>
        <w:bCs/>
        <w:sz w:val="20"/>
        <w:szCs w:val="20"/>
      </w:rPr>
      <w:t>John Shurts</w:t>
    </w:r>
  </w:p>
  <w:p w14:paraId="341C8BF4" w14:textId="1A3F9A53" w:rsidR="00F853FB" w:rsidRPr="00F853FB" w:rsidRDefault="00F853FB" w:rsidP="00F853FB">
    <w:pPr>
      <w:rPr>
        <w:rFonts w:eastAsia="Times New Roman"/>
        <w:sz w:val="20"/>
        <w:szCs w:val="20"/>
      </w:rPr>
    </w:pPr>
    <w:r w:rsidRPr="00F853FB">
      <w:rPr>
        <w:rFonts w:eastAsia="Times New Roman"/>
        <w:sz w:val="20"/>
        <w:szCs w:val="20"/>
      </w:rPr>
      <w:t xml:space="preserve">Portland, Oregon 97204                                                                                                     </w:t>
    </w:r>
    <w:r w:rsidRPr="000855D8">
      <w:rPr>
        <w:rFonts w:eastAsia="Times New Roman"/>
        <w:b/>
        <w:bCs/>
        <w:sz w:val="20"/>
        <w:szCs w:val="20"/>
      </w:rPr>
      <w:t>General Counsel</w:t>
    </w:r>
  </w:p>
  <w:p w14:paraId="25780737" w14:textId="4DFE7A38" w:rsidR="00F853FB" w:rsidRPr="00F853FB" w:rsidRDefault="005A77D1" w:rsidP="00F853FB">
    <w:pPr>
      <w:rPr>
        <w:rFonts w:eastAsia="Times New Roman"/>
        <w:sz w:val="20"/>
        <w:szCs w:val="20"/>
      </w:rPr>
    </w:pPr>
    <w:hyperlink r:id="rId1" w:history="1">
      <w:r w:rsidR="00F853FB" w:rsidRPr="00F853FB">
        <w:rPr>
          <w:rStyle w:val="Hyperlink"/>
          <w:rFonts w:eastAsia="Times New Roman"/>
          <w:sz w:val="20"/>
          <w:szCs w:val="20"/>
        </w:rPr>
        <w:t>www.nwcouncil.org</w:t>
      </w:r>
    </w:hyperlink>
    <w:r w:rsidR="00F853FB" w:rsidRPr="00F853FB">
      <w:rPr>
        <w:rFonts w:eastAsia="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8A74" w14:textId="77777777" w:rsidR="005F3D11" w:rsidRDefault="005F3D11">
      <w:r>
        <w:separator/>
      </w:r>
    </w:p>
  </w:footnote>
  <w:footnote w:type="continuationSeparator" w:id="0">
    <w:p w14:paraId="03D4BEC6" w14:textId="77777777" w:rsidR="005F3D11" w:rsidRDefault="005F3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56C"/>
    <w:multiLevelType w:val="hybridMultilevel"/>
    <w:tmpl w:val="6DC47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544F3"/>
    <w:multiLevelType w:val="hybridMultilevel"/>
    <w:tmpl w:val="52FE5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93DE7"/>
    <w:multiLevelType w:val="multilevel"/>
    <w:tmpl w:val="1122A1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A011809"/>
    <w:multiLevelType w:val="hybridMultilevel"/>
    <w:tmpl w:val="5958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32D22"/>
    <w:multiLevelType w:val="multilevel"/>
    <w:tmpl w:val="339AE42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432"/>
        </w:tabs>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5" w15:restartNumberingAfterBreak="0">
    <w:nsid w:val="375B55D9"/>
    <w:multiLevelType w:val="multilevel"/>
    <w:tmpl w:val="2E444A96"/>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440" w:firstLine="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720"/>
        </w:tabs>
        <w:ind w:left="7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15:restartNumberingAfterBreak="0">
    <w:nsid w:val="4CFB07E2"/>
    <w:multiLevelType w:val="multilevel"/>
    <w:tmpl w:val="BCDCBA7C"/>
    <w:lvl w:ilvl="0">
      <w:start w:val="1"/>
      <w:numFmt w:val="upperRoman"/>
      <w:lvlText w:val="%1."/>
      <w:lvlJc w:val="left"/>
      <w:pPr>
        <w:tabs>
          <w:tab w:val="num" w:pos="432"/>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D5A3E66"/>
    <w:multiLevelType w:val="multilevel"/>
    <w:tmpl w:val="9EBAEB5C"/>
    <w:lvl w:ilvl="0">
      <w:start w:val="1"/>
      <w:numFmt w:val="upperRoman"/>
      <w:suff w:val="space"/>
      <w:lvlText w:val="%1. "/>
      <w:lvlJc w:val="left"/>
      <w:pPr>
        <w:ind w:left="720" w:firstLine="0"/>
      </w:pPr>
      <w:rPr>
        <w:rFonts w:ascii="Times New Roman" w:hAnsi="Times New Roman"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
      <w:lvlJc w:val="left"/>
      <w:pPr>
        <w:ind w:left="720" w:firstLine="0"/>
      </w:pPr>
      <w:rPr>
        <w:rFonts w:ascii="Times New Roman" w:hAnsi="Times New Roman" w:hint="default"/>
        <w:b/>
        <w:i w:val="0"/>
        <w:sz w:val="28"/>
      </w:rPr>
    </w:lvl>
    <w:lvl w:ilvl="2">
      <w:start w:val="1"/>
      <w:numFmt w:val="decimal"/>
      <w:suff w:val="space"/>
      <w:lvlText w:val="%3. "/>
      <w:lvlJc w:val="left"/>
      <w:pPr>
        <w:ind w:left="720" w:firstLine="720"/>
      </w:pPr>
      <w:rPr>
        <w:rFonts w:ascii="Times New Roman" w:hAnsi="Times New Roman" w:hint="default"/>
        <w:b/>
        <w:i w:val="0"/>
        <w:sz w:val="26"/>
        <w:u w:val="none"/>
      </w:rPr>
    </w:lvl>
    <w:lvl w:ilvl="3">
      <w:start w:val="1"/>
      <w:numFmt w:val="lowerLetter"/>
      <w:suff w:val="space"/>
      <w:lvlText w:val="%4. "/>
      <w:lvlJc w:val="left"/>
      <w:pPr>
        <w:ind w:left="720" w:firstLine="720"/>
      </w:pPr>
      <w:rPr>
        <w:rFonts w:ascii="Times New Roman" w:hAnsi="Times New Roman" w:hint="default"/>
        <w:b/>
        <w:i w:val="0"/>
        <w:sz w:val="24"/>
      </w:rPr>
    </w:lvl>
    <w:lvl w:ilvl="4">
      <w:start w:val="1"/>
      <w:numFmt w:val="decimal"/>
      <w:suff w:val="space"/>
      <w:lvlText w:val="(%5) "/>
      <w:lvlJc w:val="left"/>
      <w:pPr>
        <w:ind w:left="720" w:firstLine="720"/>
      </w:pPr>
      <w:rPr>
        <w:rFonts w:hint="default"/>
        <w:b/>
        <w:i w:val="0"/>
        <w:sz w:val="24"/>
      </w:rPr>
    </w:lvl>
    <w:lvl w:ilvl="5">
      <w:start w:val="1"/>
      <w:numFmt w:val="lowerLetter"/>
      <w:suff w:val="space"/>
      <w:lvlText w:val="%6) "/>
      <w:lvlJc w:val="left"/>
      <w:pPr>
        <w:ind w:left="720" w:firstLine="720"/>
      </w:pPr>
      <w:rPr>
        <w:rFonts w:hint="default"/>
      </w:rPr>
    </w:lvl>
    <w:lvl w:ilvl="6">
      <w:start w:val="1"/>
      <w:numFmt w:val="lowerRoman"/>
      <w:lvlText w:val="%7)"/>
      <w:lvlJc w:val="left"/>
      <w:pPr>
        <w:tabs>
          <w:tab w:val="num" w:pos="720"/>
        </w:tabs>
        <w:ind w:left="72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8" w15:restartNumberingAfterBreak="0">
    <w:nsid w:val="4F566823"/>
    <w:multiLevelType w:val="multilevel"/>
    <w:tmpl w:val="1F963680"/>
    <w:lvl w:ilvl="0">
      <w:start w:val="1"/>
      <w:numFmt w:val="lowerLetter"/>
      <w:lvlText w:val="%1."/>
      <w:lvlJc w:val="left"/>
      <w:pPr>
        <w:tabs>
          <w:tab w:val="num" w:pos="-1320"/>
        </w:tabs>
        <w:ind w:left="-1320" w:hanging="360"/>
      </w:pPr>
      <w:rPr>
        <w:rFonts w:hint="default"/>
      </w:rPr>
    </w:lvl>
    <w:lvl w:ilvl="1">
      <w:start w:val="1"/>
      <w:numFmt w:val="upperLetter"/>
      <w:lvlText w:val="%2."/>
      <w:lvlJc w:val="left"/>
      <w:pPr>
        <w:tabs>
          <w:tab w:val="num" w:pos="-600"/>
        </w:tabs>
        <w:ind w:left="-960" w:firstLine="0"/>
      </w:pPr>
      <w:rPr>
        <w:rFonts w:hint="default"/>
      </w:rPr>
    </w:lvl>
    <w:lvl w:ilvl="2">
      <w:start w:val="1"/>
      <w:numFmt w:val="decimal"/>
      <w:lvlText w:val="%3."/>
      <w:lvlJc w:val="left"/>
      <w:pPr>
        <w:tabs>
          <w:tab w:val="num" w:pos="120"/>
        </w:tabs>
        <w:ind w:left="-240" w:firstLine="0"/>
      </w:pPr>
      <w:rPr>
        <w:rFonts w:hint="default"/>
      </w:rPr>
    </w:lvl>
    <w:lvl w:ilvl="3">
      <w:start w:val="1"/>
      <w:numFmt w:val="lowerLetter"/>
      <w:lvlText w:val="%4)"/>
      <w:lvlJc w:val="left"/>
      <w:pPr>
        <w:tabs>
          <w:tab w:val="num" w:pos="432"/>
        </w:tabs>
        <w:ind w:left="0" w:firstLine="432"/>
      </w:pPr>
      <w:rPr>
        <w:rFonts w:hint="default"/>
      </w:rPr>
    </w:lvl>
    <w:lvl w:ilvl="4">
      <w:start w:val="1"/>
      <w:numFmt w:val="decimal"/>
      <w:lvlText w:val="(%5)"/>
      <w:lvlJc w:val="left"/>
      <w:pPr>
        <w:tabs>
          <w:tab w:val="num" w:pos="1560"/>
        </w:tabs>
        <w:ind w:left="1200" w:firstLine="0"/>
      </w:pPr>
      <w:rPr>
        <w:rFonts w:hint="default"/>
      </w:rPr>
    </w:lvl>
    <w:lvl w:ilvl="5">
      <w:start w:val="1"/>
      <w:numFmt w:val="lowerLetter"/>
      <w:lvlText w:val="(%6)"/>
      <w:lvlJc w:val="left"/>
      <w:pPr>
        <w:tabs>
          <w:tab w:val="num" w:pos="2280"/>
        </w:tabs>
        <w:ind w:left="1920" w:firstLine="0"/>
      </w:pPr>
      <w:rPr>
        <w:rFonts w:hint="default"/>
      </w:rPr>
    </w:lvl>
    <w:lvl w:ilvl="6">
      <w:start w:val="1"/>
      <w:numFmt w:val="lowerRoman"/>
      <w:lvlText w:val="(%7)"/>
      <w:lvlJc w:val="left"/>
      <w:pPr>
        <w:tabs>
          <w:tab w:val="num" w:pos="3000"/>
        </w:tabs>
        <w:ind w:left="2640" w:firstLine="0"/>
      </w:pPr>
      <w:rPr>
        <w:rFonts w:hint="default"/>
      </w:rPr>
    </w:lvl>
    <w:lvl w:ilvl="7">
      <w:start w:val="1"/>
      <w:numFmt w:val="lowerLetter"/>
      <w:lvlText w:val="(%8)"/>
      <w:lvlJc w:val="left"/>
      <w:pPr>
        <w:tabs>
          <w:tab w:val="num" w:pos="3720"/>
        </w:tabs>
        <w:ind w:left="3360" w:firstLine="0"/>
      </w:pPr>
      <w:rPr>
        <w:rFonts w:hint="default"/>
      </w:rPr>
    </w:lvl>
    <w:lvl w:ilvl="8">
      <w:start w:val="1"/>
      <w:numFmt w:val="lowerRoman"/>
      <w:lvlText w:val="(%9)"/>
      <w:lvlJc w:val="left"/>
      <w:pPr>
        <w:tabs>
          <w:tab w:val="num" w:pos="4440"/>
        </w:tabs>
        <w:ind w:left="4080" w:firstLine="0"/>
      </w:pPr>
      <w:rPr>
        <w:rFonts w:hint="default"/>
      </w:rPr>
    </w:lvl>
  </w:abstractNum>
  <w:abstractNum w:abstractNumId="9" w15:restartNumberingAfterBreak="0">
    <w:nsid w:val="5F6F7337"/>
    <w:multiLevelType w:val="multilevel"/>
    <w:tmpl w:val="1F741BAA"/>
    <w:lvl w:ilvl="0">
      <w:start w:val="1"/>
      <w:numFmt w:val="decimal"/>
      <w:lvlText w:val="(%1)"/>
      <w:lvlJc w:val="left"/>
      <w:pPr>
        <w:tabs>
          <w:tab w:val="num" w:pos="720"/>
        </w:tabs>
        <w:ind w:left="720" w:firstLine="0"/>
      </w:pPr>
      <w:rPr>
        <w:rFonts w:hint="default"/>
      </w:rPr>
    </w:lvl>
    <w:lvl w:ilvl="1">
      <w:start w:val="1"/>
      <w:numFmt w:val="decimalZero"/>
      <w:isLgl/>
      <w:lvlText w:val="Section %1.%2"/>
      <w:lvlJc w:val="left"/>
      <w:pPr>
        <w:tabs>
          <w:tab w:val="num" w:pos="1800"/>
        </w:tabs>
        <w:ind w:left="720" w:firstLine="0"/>
      </w:pPr>
      <w:rPr>
        <w:rFonts w:hint="default"/>
      </w:rPr>
    </w:lvl>
    <w:lvl w:ilvl="2">
      <w:start w:val="1"/>
      <w:numFmt w:val="lowerLetter"/>
      <w:lvlText w:val="(%3)"/>
      <w:lvlJc w:val="left"/>
      <w:pPr>
        <w:tabs>
          <w:tab w:val="num" w:pos="1440"/>
        </w:tabs>
        <w:ind w:left="1440" w:hanging="432"/>
      </w:pPr>
      <w:rPr>
        <w:rFonts w:hint="default"/>
      </w:rPr>
    </w:lvl>
    <w:lvl w:ilvl="3">
      <w:start w:val="1"/>
      <w:numFmt w:val="lowerRoman"/>
      <w:lvlText w:val="(%4)"/>
      <w:lvlJc w:val="right"/>
      <w:pPr>
        <w:tabs>
          <w:tab w:val="num" w:pos="1584"/>
        </w:tabs>
        <w:ind w:left="1584" w:hanging="144"/>
      </w:pPr>
      <w:rPr>
        <w:rFonts w:hint="default"/>
      </w:rPr>
    </w:lvl>
    <w:lvl w:ilvl="4">
      <w:start w:val="1"/>
      <w:numFmt w:val="decimal"/>
      <w:lvlText w:val="(%5)"/>
      <w:lvlJc w:val="left"/>
      <w:pPr>
        <w:tabs>
          <w:tab w:val="num" w:pos="720"/>
        </w:tabs>
        <w:ind w:left="720" w:firstLine="0"/>
      </w:pPr>
      <w:rPr>
        <w:rFonts w:hint="default"/>
      </w:rPr>
    </w:lvl>
    <w:lvl w:ilvl="5">
      <w:start w:val="1"/>
      <w:numFmt w:val="lowerLetter"/>
      <w:lvlText w:val="%6)"/>
      <w:lvlJc w:val="left"/>
      <w:pPr>
        <w:tabs>
          <w:tab w:val="num" w:pos="1872"/>
        </w:tabs>
        <w:ind w:left="1872" w:hanging="432"/>
      </w:pPr>
      <w:rPr>
        <w:rFonts w:hint="default"/>
      </w:rPr>
    </w:lvl>
    <w:lvl w:ilvl="6">
      <w:start w:val="1"/>
      <w:numFmt w:val="lowerRoman"/>
      <w:lvlText w:val="%7)"/>
      <w:lvlJc w:val="right"/>
      <w:pPr>
        <w:tabs>
          <w:tab w:val="num" w:pos="2016"/>
        </w:tabs>
        <w:ind w:left="2016" w:hanging="288"/>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right"/>
      <w:pPr>
        <w:tabs>
          <w:tab w:val="num" w:pos="2304"/>
        </w:tabs>
        <w:ind w:left="2304" w:hanging="144"/>
      </w:pPr>
      <w:rPr>
        <w:rFonts w:hint="default"/>
      </w:rPr>
    </w:lvl>
  </w:abstractNum>
  <w:abstractNum w:abstractNumId="10" w15:restartNumberingAfterBreak="0">
    <w:nsid w:val="6C984960"/>
    <w:multiLevelType w:val="hybridMultilevel"/>
    <w:tmpl w:val="49FA7280"/>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769045C1"/>
    <w:multiLevelType w:val="multilevel"/>
    <w:tmpl w:val="06AAE9EE"/>
    <w:lvl w:ilvl="0">
      <w:start w:val="1"/>
      <w:numFmt w:val="none"/>
      <w:suff w:val="nothing"/>
      <w:lvlText w:val="%1"/>
      <w:lvlJc w:val="left"/>
      <w:pPr>
        <w:ind w:left="216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720"/>
        </w:tabs>
        <w:ind w:left="0" w:firstLine="72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2" w15:restartNumberingAfterBreak="0">
    <w:nsid w:val="7BB641CE"/>
    <w:multiLevelType w:val="hybridMultilevel"/>
    <w:tmpl w:val="F080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712724">
    <w:abstractNumId w:val="6"/>
  </w:num>
  <w:num w:numId="2" w16cid:durableId="1005669550">
    <w:abstractNumId w:val="4"/>
  </w:num>
  <w:num w:numId="3" w16cid:durableId="409353786">
    <w:abstractNumId w:val="11"/>
  </w:num>
  <w:num w:numId="4" w16cid:durableId="938834332">
    <w:abstractNumId w:val="8"/>
  </w:num>
  <w:num w:numId="5" w16cid:durableId="1075981231">
    <w:abstractNumId w:val="9"/>
  </w:num>
  <w:num w:numId="6" w16cid:durableId="1888059098">
    <w:abstractNumId w:val="5"/>
  </w:num>
  <w:num w:numId="7" w16cid:durableId="1641958395">
    <w:abstractNumId w:val="7"/>
  </w:num>
  <w:num w:numId="8" w16cid:durableId="253366674">
    <w:abstractNumId w:val="2"/>
  </w:num>
  <w:num w:numId="9" w16cid:durableId="399795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034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3186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272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0240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1507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0882907">
    <w:abstractNumId w:val="3"/>
  </w:num>
  <w:num w:numId="16" w16cid:durableId="503595431">
    <w:abstractNumId w:val="10"/>
  </w:num>
  <w:num w:numId="17" w16cid:durableId="1912617881">
    <w:abstractNumId w:val="1"/>
  </w:num>
  <w:num w:numId="18" w16cid:durableId="1134523503">
    <w:abstractNumId w:val="0"/>
  </w:num>
  <w:num w:numId="19" w16cid:durableId="1089161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0NDG0MDc3NbYwMbBU0lEKTi0uzszPAykwrgUAB3FUBiwAAAA="/>
  </w:docVars>
  <w:rsids>
    <w:rsidRoot w:val="0062655F"/>
    <w:rsid w:val="00002B91"/>
    <w:rsid w:val="0003327B"/>
    <w:rsid w:val="00054227"/>
    <w:rsid w:val="00062F60"/>
    <w:rsid w:val="00080528"/>
    <w:rsid w:val="000855D8"/>
    <w:rsid w:val="0009637A"/>
    <w:rsid w:val="000B0817"/>
    <w:rsid w:val="000C5CF2"/>
    <w:rsid w:val="000D50A3"/>
    <w:rsid w:val="00112DB4"/>
    <w:rsid w:val="00160FB6"/>
    <w:rsid w:val="00162E61"/>
    <w:rsid w:val="00192CF7"/>
    <w:rsid w:val="001964BC"/>
    <w:rsid w:val="001B1846"/>
    <w:rsid w:val="0022543F"/>
    <w:rsid w:val="002368D0"/>
    <w:rsid w:val="0024460C"/>
    <w:rsid w:val="00245FE6"/>
    <w:rsid w:val="00256982"/>
    <w:rsid w:val="00265ACD"/>
    <w:rsid w:val="002731A9"/>
    <w:rsid w:val="0027525F"/>
    <w:rsid w:val="002932F9"/>
    <w:rsid w:val="002961BF"/>
    <w:rsid w:val="002D10FF"/>
    <w:rsid w:val="002D77C5"/>
    <w:rsid w:val="002F6A96"/>
    <w:rsid w:val="00315860"/>
    <w:rsid w:val="003717FC"/>
    <w:rsid w:val="00387792"/>
    <w:rsid w:val="003B45BC"/>
    <w:rsid w:val="003D3430"/>
    <w:rsid w:val="003E1F2D"/>
    <w:rsid w:val="003E66D0"/>
    <w:rsid w:val="00485900"/>
    <w:rsid w:val="004B3B7B"/>
    <w:rsid w:val="004E5690"/>
    <w:rsid w:val="0057072E"/>
    <w:rsid w:val="00575828"/>
    <w:rsid w:val="00584405"/>
    <w:rsid w:val="00590957"/>
    <w:rsid w:val="005A1A29"/>
    <w:rsid w:val="005A77D1"/>
    <w:rsid w:val="005B349D"/>
    <w:rsid w:val="005B3B57"/>
    <w:rsid w:val="005E3B57"/>
    <w:rsid w:val="005F3D11"/>
    <w:rsid w:val="00617057"/>
    <w:rsid w:val="0062655F"/>
    <w:rsid w:val="00633858"/>
    <w:rsid w:val="006433A5"/>
    <w:rsid w:val="00664EFF"/>
    <w:rsid w:val="0066762C"/>
    <w:rsid w:val="00691032"/>
    <w:rsid w:val="006B726F"/>
    <w:rsid w:val="006D565B"/>
    <w:rsid w:val="006D5DFA"/>
    <w:rsid w:val="006F21DD"/>
    <w:rsid w:val="00702C4F"/>
    <w:rsid w:val="00722588"/>
    <w:rsid w:val="00725095"/>
    <w:rsid w:val="0073066D"/>
    <w:rsid w:val="00735C3B"/>
    <w:rsid w:val="0074532A"/>
    <w:rsid w:val="007806ED"/>
    <w:rsid w:val="007C5A82"/>
    <w:rsid w:val="007E3C60"/>
    <w:rsid w:val="00805388"/>
    <w:rsid w:val="00805499"/>
    <w:rsid w:val="00807649"/>
    <w:rsid w:val="0081223B"/>
    <w:rsid w:val="008141D5"/>
    <w:rsid w:val="00816798"/>
    <w:rsid w:val="00817693"/>
    <w:rsid w:val="008209E0"/>
    <w:rsid w:val="00820D18"/>
    <w:rsid w:val="0083069B"/>
    <w:rsid w:val="0083157E"/>
    <w:rsid w:val="0083265F"/>
    <w:rsid w:val="00843256"/>
    <w:rsid w:val="00864D60"/>
    <w:rsid w:val="008932D2"/>
    <w:rsid w:val="008C4B12"/>
    <w:rsid w:val="008C4D07"/>
    <w:rsid w:val="008D44B3"/>
    <w:rsid w:val="00932BC9"/>
    <w:rsid w:val="009469E0"/>
    <w:rsid w:val="009869F1"/>
    <w:rsid w:val="009B354F"/>
    <w:rsid w:val="009B7115"/>
    <w:rsid w:val="009D5EDC"/>
    <w:rsid w:val="00A42055"/>
    <w:rsid w:val="00A4419B"/>
    <w:rsid w:val="00A50543"/>
    <w:rsid w:val="00A5289F"/>
    <w:rsid w:val="00A56937"/>
    <w:rsid w:val="00A6121F"/>
    <w:rsid w:val="00A90F3D"/>
    <w:rsid w:val="00AC1C60"/>
    <w:rsid w:val="00B45E86"/>
    <w:rsid w:val="00B74FE3"/>
    <w:rsid w:val="00B762C9"/>
    <w:rsid w:val="00BA0E23"/>
    <w:rsid w:val="00BB616C"/>
    <w:rsid w:val="00BD6CE8"/>
    <w:rsid w:val="00C16EE2"/>
    <w:rsid w:val="00C41913"/>
    <w:rsid w:val="00C8517D"/>
    <w:rsid w:val="00C96AD3"/>
    <w:rsid w:val="00CA5CFE"/>
    <w:rsid w:val="00CB13B9"/>
    <w:rsid w:val="00CC1635"/>
    <w:rsid w:val="00CE29EA"/>
    <w:rsid w:val="00CE6DCB"/>
    <w:rsid w:val="00D00615"/>
    <w:rsid w:val="00D30C48"/>
    <w:rsid w:val="00D5333B"/>
    <w:rsid w:val="00D56485"/>
    <w:rsid w:val="00D57462"/>
    <w:rsid w:val="00DA4318"/>
    <w:rsid w:val="00DC58DC"/>
    <w:rsid w:val="00DD264D"/>
    <w:rsid w:val="00E050F4"/>
    <w:rsid w:val="00E06B1B"/>
    <w:rsid w:val="00E07111"/>
    <w:rsid w:val="00E14F8F"/>
    <w:rsid w:val="00E25B54"/>
    <w:rsid w:val="00E54CC2"/>
    <w:rsid w:val="00E91276"/>
    <w:rsid w:val="00E9556E"/>
    <w:rsid w:val="00E97BD4"/>
    <w:rsid w:val="00EA2E3F"/>
    <w:rsid w:val="00EA4E0B"/>
    <w:rsid w:val="00EC435C"/>
    <w:rsid w:val="00EF6B2D"/>
    <w:rsid w:val="00F324C0"/>
    <w:rsid w:val="00F546FC"/>
    <w:rsid w:val="00F806C2"/>
    <w:rsid w:val="00F853FB"/>
    <w:rsid w:val="00FA28AF"/>
    <w:rsid w:val="00FC4A23"/>
    <w:rsid w:val="00FC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3AE6B"/>
  <w15:docId w15:val="{D0060207-E8EE-42E3-8128-F11ADD993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227"/>
    <w:pPr>
      <w:spacing w:after="0" w:line="240" w:lineRule="auto"/>
    </w:pPr>
    <w:rPr>
      <w:rFonts w:ascii="Arial" w:hAnsi="Arial" w:cs="Arial"/>
      <w:sz w:val="24"/>
      <w:szCs w:val="24"/>
    </w:rPr>
  </w:style>
  <w:style w:type="paragraph" w:styleId="Heading1">
    <w:name w:val="heading 1"/>
    <w:next w:val="Heading1Text"/>
    <w:link w:val="Heading1Char"/>
    <w:uiPriority w:val="1"/>
    <w:qFormat/>
    <w:rsid w:val="00054227"/>
    <w:pPr>
      <w:keepNext/>
      <w:numPr>
        <w:numId w:val="8"/>
      </w:numPr>
      <w:tabs>
        <w:tab w:val="num" w:pos="432"/>
      </w:tabs>
      <w:spacing w:before="240" w:after="0" w:line="240" w:lineRule="auto"/>
      <w:outlineLvl w:val="0"/>
    </w:pPr>
    <w:rPr>
      <w:rFonts w:ascii="Arial" w:eastAsia="Times New Roman" w:hAnsi="Arial" w:cs="Arial"/>
      <w:b/>
      <w:bCs/>
      <w:kern w:val="32"/>
      <w:sz w:val="32"/>
      <w:szCs w:val="32"/>
    </w:rPr>
  </w:style>
  <w:style w:type="paragraph" w:styleId="Heading2">
    <w:name w:val="heading 2"/>
    <w:next w:val="Heading2Text"/>
    <w:link w:val="Heading2Char"/>
    <w:uiPriority w:val="1"/>
    <w:qFormat/>
    <w:rsid w:val="00054227"/>
    <w:pPr>
      <w:keepNext/>
      <w:numPr>
        <w:ilvl w:val="1"/>
        <w:numId w:val="9"/>
      </w:numPr>
      <w:tabs>
        <w:tab w:val="num" w:pos="432"/>
      </w:tabs>
      <w:spacing w:before="240" w:after="0" w:line="240" w:lineRule="auto"/>
      <w:outlineLvl w:val="1"/>
    </w:pPr>
    <w:rPr>
      <w:rFonts w:ascii="Arial" w:eastAsia="Times New Roman" w:hAnsi="Arial" w:cs="Arial"/>
      <w:b/>
      <w:i/>
      <w:iCs/>
      <w:kern w:val="32"/>
      <w:sz w:val="28"/>
      <w:szCs w:val="32"/>
    </w:rPr>
  </w:style>
  <w:style w:type="paragraph" w:styleId="Heading3">
    <w:name w:val="heading 3"/>
    <w:next w:val="Heading3Text"/>
    <w:link w:val="Heading3Char"/>
    <w:uiPriority w:val="1"/>
    <w:qFormat/>
    <w:rsid w:val="00054227"/>
    <w:pPr>
      <w:numPr>
        <w:ilvl w:val="2"/>
        <w:numId w:val="10"/>
      </w:numPr>
      <w:tabs>
        <w:tab w:val="num" w:pos="720"/>
        <w:tab w:val="left" w:pos="1080"/>
      </w:tabs>
      <w:spacing w:before="240" w:after="0" w:line="240" w:lineRule="auto"/>
      <w:ind w:firstLine="720"/>
      <w:outlineLvl w:val="2"/>
    </w:pPr>
    <w:rPr>
      <w:rFonts w:ascii="Arial" w:eastAsia="Times New Roman" w:hAnsi="Arial" w:cs="Arial"/>
      <w:b/>
      <w:bCs/>
      <w:iCs/>
      <w:kern w:val="32"/>
      <w:sz w:val="26"/>
      <w:szCs w:val="32"/>
    </w:rPr>
  </w:style>
  <w:style w:type="paragraph" w:styleId="Heading4">
    <w:name w:val="heading 4"/>
    <w:next w:val="Heading4Text"/>
    <w:link w:val="Heading4Char"/>
    <w:uiPriority w:val="1"/>
    <w:qFormat/>
    <w:rsid w:val="00054227"/>
    <w:pPr>
      <w:keepNext/>
      <w:numPr>
        <w:ilvl w:val="3"/>
        <w:numId w:val="11"/>
      </w:numPr>
      <w:tabs>
        <w:tab w:val="num" w:pos="432"/>
        <w:tab w:val="left" w:pos="1080"/>
      </w:tabs>
      <w:spacing w:before="240" w:after="0" w:line="240" w:lineRule="auto"/>
      <w:ind w:firstLine="432"/>
      <w:outlineLvl w:val="3"/>
    </w:pPr>
    <w:rPr>
      <w:rFonts w:ascii="Arial" w:eastAsia="Times New Roman" w:hAnsi="Arial" w:cs="Arial"/>
      <w:b/>
      <w:bCs/>
      <w:iCs/>
      <w:kern w:val="32"/>
      <w:sz w:val="24"/>
      <w:szCs w:val="32"/>
    </w:rPr>
  </w:style>
  <w:style w:type="paragraph" w:styleId="Heading5">
    <w:name w:val="heading 5"/>
    <w:next w:val="Heading5Text"/>
    <w:link w:val="Heading5Char"/>
    <w:uiPriority w:val="1"/>
    <w:qFormat/>
    <w:rsid w:val="00054227"/>
    <w:pPr>
      <w:keepNext/>
      <w:tabs>
        <w:tab w:val="num" w:pos="720"/>
        <w:tab w:val="left" w:pos="1080"/>
      </w:tabs>
      <w:spacing w:before="240" w:after="0" w:line="240" w:lineRule="auto"/>
      <w:ind w:left="720" w:hanging="720"/>
      <w:outlineLvl w:val="4"/>
    </w:pPr>
    <w:rPr>
      <w:rFonts w:ascii="Arial" w:eastAsia="Times New Roman" w:hAnsi="Arial" w:cs="Arial"/>
      <w:b/>
      <w:bCs/>
      <w:iCs/>
      <w:kern w:val="32"/>
      <w:sz w:val="24"/>
      <w:szCs w:val="32"/>
    </w:rPr>
  </w:style>
  <w:style w:type="paragraph" w:styleId="Heading6">
    <w:name w:val="heading 6"/>
    <w:next w:val="Heading6Text"/>
    <w:link w:val="Heading6Char"/>
    <w:uiPriority w:val="1"/>
    <w:qFormat/>
    <w:rsid w:val="00054227"/>
    <w:pPr>
      <w:keepNext/>
      <w:numPr>
        <w:ilvl w:val="5"/>
        <w:numId w:val="13"/>
      </w:numPr>
      <w:tabs>
        <w:tab w:val="num" w:pos="720"/>
      </w:tabs>
      <w:spacing w:before="240" w:after="0" w:line="240" w:lineRule="auto"/>
      <w:ind w:left="720"/>
      <w:outlineLvl w:val="5"/>
    </w:pPr>
    <w:rPr>
      <w:rFonts w:ascii="Arial" w:eastAsia="Times New Roman" w:hAnsi="Arial" w:cs="Arial"/>
      <w:b/>
      <w:iCs/>
      <w:kern w:val="32"/>
      <w:sz w:val="24"/>
      <w:szCs w:val="32"/>
    </w:rPr>
  </w:style>
  <w:style w:type="paragraph" w:styleId="Heading7">
    <w:name w:val="heading 7"/>
    <w:next w:val="Heading7Text"/>
    <w:link w:val="Heading7Char"/>
    <w:uiPriority w:val="1"/>
    <w:qFormat/>
    <w:rsid w:val="00054227"/>
    <w:pPr>
      <w:keepNext/>
      <w:numPr>
        <w:ilvl w:val="6"/>
        <w:numId w:val="14"/>
      </w:numPr>
      <w:tabs>
        <w:tab w:val="num" w:pos="720"/>
        <w:tab w:val="left" w:pos="1080"/>
      </w:tabs>
      <w:spacing w:before="240" w:after="0" w:line="240" w:lineRule="auto"/>
      <w:ind w:left="720"/>
      <w:outlineLvl w:val="6"/>
    </w:pPr>
    <w:rPr>
      <w:rFonts w:ascii="Arial" w:eastAsia="Times New Roman" w:hAnsi="Arial" w:cs="Arial"/>
      <w:b/>
      <w:bCs/>
      <w:i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0FB6"/>
    <w:pPr>
      <w:tabs>
        <w:tab w:val="center" w:pos="4320"/>
        <w:tab w:val="right" w:pos="8640"/>
      </w:tabs>
    </w:pPr>
  </w:style>
  <w:style w:type="paragraph" w:styleId="Footer">
    <w:name w:val="footer"/>
    <w:basedOn w:val="Normal"/>
    <w:link w:val="FooterChar"/>
    <w:uiPriority w:val="99"/>
    <w:rsid w:val="00160FB6"/>
    <w:pPr>
      <w:tabs>
        <w:tab w:val="center" w:pos="4320"/>
        <w:tab w:val="right" w:pos="8640"/>
      </w:tabs>
    </w:pPr>
  </w:style>
  <w:style w:type="character" w:styleId="PageNumber">
    <w:name w:val="page number"/>
    <w:basedOn w:val="DefaultParagraphFont"/>
    <w:rsid w:val="00160FB6"/>
  </w:style>
  <w:style w:type="paragraph" w:customStyle="1" w:styleId="-PAGE-">
    <w:name w:val="- PAGE -"/>
    <w:rsid w:val="00160FB6"/>
    <w:rPr>
      <w:sz w:val="24"/>
      <w:szCs w:val="24"/>
    </w:rPr>
  </w:style>
  <w:style w:type="character" w:styleId="Hyperlink">
    <w:name w:val="Hyperlink"/>
    <w:basedOn w:val="DefaultParagraphFont"/>
    <w:rsid w:val="00160FB6"/>
    <w:rPr>
      <w:color w:val="0000FF"/>
      <w:u w:val="single"/>
    </w:rPr>
  </w:style>
  <w:style w:type="paragraph" w:customStyle="1" w:styleId="sig-eb">
    <w:name w:val="sig-eb"/>
    <w:rsid w:val="00160FB6"/>
    <w:rPr>
      <w:sz w:val="24"/>
      <w:szCs w:val="24"/>
    </w:rPr>
  </w:style>
  <w:style w:type="paragraph" w:styleId="BalloonText">
    <w:name w:val="Balloon Text"/>
    <w:basedOn w:val="Normal"/>
    <w:link w:val="BalloonTextChar"/>
    <w:rsid w:val="00245FE6"/>
    <w:rPr>
      <w:rFonts w:ascii="Tahoma" w:hAnsi="Tahoma" w:cs="Tahoma"/>
      <w:sz w:val="16"/>
      <w:szCs w:val="16"/>
    </w:rPr>
  </w:style>
  <w:style w:type="character" w:customStyle="1" w:styleId="BalloonTextChar">
    <w:name w:val="Balloon Text Char"/>
    <w:basedOn w:val="DefaultParagraphFont"/>
    <w:link w:val="BalloonText"/>
    <w:rsid w:val="00245FE6"/>
    <w:rPr>
      <w:rFonts w:ascii="Tahoma" w:hAnsi="Tahoma" w:cs="Tahoma"/>
      <w:sz w:val="16"/>
      <w:szCs w:val="16"/>
    </w:rPr>
  </w:style>
  <w:style w:type="character" w:customStyle="1" w:styleId="FooterChar">
    <w:name w:val="Footer Char"/>
    <w:basedOn w:val="DefaultParagraphFont"/>
    <w:link w:val="Footer"/>
    <w:uiPriority w:val="99"/>
    <w:rsid w:val="0003327B"/>
    <w:rPr>
      <w:sz w:val="24"/>
      <w:szCs w:val="24"/>
    </w:rPr>
  </w:style>
  <w:style w:type="paragraph" w:customStyle="1" w:styleId="Heading1Text">
    <w:name w:val="Heading 1 Text"/>
    <w:uiPriority w:val="1"/>
    <w:qFormat/>
    <w:rsid w:val="00054227"/>
    <w:pPr>
      <w:spacing w:before="240" w:after="0" w:line="240" w:lineRule="auto"/>
    </w:pPr>
    <w:rPr>
      <w:rFonts w:ascii="Arial" w:eastAsia="Times New Roman" w:hAnsi="Arial" w:cs="Times New Roman"/>
      <w:sz w:val="24"/>
      <w:szCs w:val="20"/>
      <w:lang w:bidi="he-IL"/>
    </w:rPr>
  </w:style>
  <w:style w:type="paragraph" w:customStyle="1" w:styleId="Heading2Text">
    <w:name w:val="Heading 2 Text"/>
    <w:uiPriority w:val="1"/>
    <w:qFormat/>
    <w:rsid w:val="00054227"/>
    <w:pPr>
      <w:spacing w:before="240" w:after="0" w:line="240" w:lineRule="auto"/>
    </w:pPr>
    <w:rPr>
      <w:rFonts w:ascii="Arial" w:eastAsia="Times New Roman" w:hAnsi="Arial" w:cs="Times New Roman"/>
      <w:sz w:val="24"/>
      <w:szCs w:val="20"/>
      <w:lang w:bidi="he-IL"/>
    </w:rPr>
  </w:style>
  <w:style w:type="paragraph" w:customStyle="1" w:styleId="Heading3Text">
    <w:name w:val="Heading 3 Text"/>
    <w:uiPriority w:val="1"/>
    <w:qFormat/>
    <w:rsid w:val="00054227"/>
    <w:pPr>
      <w:spacing w:before="240" w:after="0" w:line="240" w:lineRule="auto"/>
    </w:pPr>
    <w:rPr>
      <w:rFonts w:ascii="Arial" w:eastAsia="Times New Roman" w:hAnsi="Arial" w:cs="Times New Roman"/>
      <w:sz w:val="24"/>
      <w:szCs w:val="20"/>
      <w:lang w:bidi="he-IL"/>
    </w:rPr>
  </w:style>
  <w:style w:type="paragraph" w:customStyle="1" w:styleId="Heading4Text">
    <w:name w:val="Heading 4 Text"/>
    <w:uiPriority w:val="1"/>
    <w:qFormat/>
    <w:rsid w:val="00054227"/>
    <w:pPr>
      <w:spacing w:before="240" w:after="0" w:line="240" w:lineRule="auto"/>
    </w:pPr>
    <w:rPr>
      <w:rFonts w:ascii="Arial" w:eastAsia="Times New Roman" w:hAnsi="Arial" w:cs="Times New Roman"/>
      <w:sz w:val="24"/>
      <w:szCs w:val="20"/>
      <w:lang w:bidi="he-IL"/>
    </w:rPr>
  </w:style>
  <w:style w:type="paragraph" w:customStyle="1" w:styleId="Heading6Text">
    <w:name w:val="Heading 6 Text"/>
    <w:uiPriority w:val="1"/>
    <w:qFormat/>
    <w:rsid w:val="00054227"/>
    <w:pPr>
      <w:spacing w:before="240" w:after="0" w:line="240" w:lineRule="auto"/>
      <w:ind w:left="720"/>
    </w:pPr>
    <w:rPr>
      <w:rFonts w:ascii="Arial" w:eastAsia="Times New Roman" w:hAnsi="Arial" w:cs="Times New Roman"/>
      <w:sz w:val="24"/>
      <w:szCs w:val="20"/>
      <w:lang w:bidi="he-IL"/>
    </w:rPr>
  </w:style>
  <w:style w:type="paragraph" w:customStyle="1" w:styleId="Heading5Text">
    <w:name w:val="Heading 5 Text"/>
    <w:uiPriority w:val="1"/>
    <w:qFormat/>
    <w:rsid w:val="00054227"/>
    <w:pPr>
      <w:spacing w:before="240" w:after="0" w:line="240" w:lineRule="auto"/>
    </w:pPr>
    <w:rPr>
      <w:rFonts w:ascii="Arial" w:eastAsia="Times New Roman" w:hAnsi="Arial" w:cs="Times New Roman"/>
      <w:sz w:val="24"/>
      <w:szCs w:val="20"/>
      <w:lang w:bidi="he-IL"/>
    </w:rPr>
  </w:style>
  <w:style w:type="paragraph" w:customStyle="1" w:styleId="Heading7Text">
    <w:name w:val="Heading 7 Text"/>
    <w:uiPriority w:val="1"/>
    <w:qFormat/>
    <w:rsid w:val="00054227"/>
    <w:pPr>
      <w:spacing w:before="240" w:after="0" w:line="240" w:lineRule="auto"/>
      <w:ind w:left="720"/>
    </w:pPr>
    <w:rPr>
      <w:rFonts w:ascii="Arial" w:eastAsia="Times New Roman" w:hAnsi="Arial" w:cs="Times New Roman"/>
      <w:sz w:val="24"/>
      <w:szCs w:val="20"/>
      <w:lang w:bidi="he-IL"/>
    </w:rPr>
  </w:style>
  <w:style w:type="character" w:customStyle="1" w:styleId="Heading1Char">
    <w:name w:val="Heading 1 Char"/>
    <w:basedOn w:val="DefaultParagraphFont"/>
    <w:link w:val="Heading1"/>
    <w:uiPriority w:val="1"/>
    <w:rsid w:val="00054227"/>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1"/>
    <w:rsid w:val="00054227"/>
    <w:rPr>
      <w:rFonts w:ascii="Arial" w:eastAsia="Times New Roman" w:hAnsi="Arial" w:cs="Arial"/>
      <w:b/>
      <w:i/>
      <w:iCs/>
      <w:kern w:val="32"/>
      <w:sz w:val="28"/>
      <w:szCs w:val="32"/>
    </w:rPr>
  </w:style>
  <w:style w:type="character" w:customStyle="1" w:styleId="Heading3Char">
    <w:name w:val="Heading 3 Char"/>
    <w:basedOn w:val="DefaultParagraphFont"/>
    <w:link w:val="Heading3"/>
    <w:uiPriority w:val="1"/>
    <w:rsid w:val="00054227"/>
    <w:rPr>
      <w:rFonts w:ascii="Arial" w:eastAsia="Times New Roman" w:hAnsi="Arial" w:cs="Arial"/>
      <w:b/>
      <w:bCs/>
      <w:iCs/>
      <w:kern w:val="32"/>
      <w:sz w:val="26"/>
      <w:szCs w:val="32"/>
    </w:rPr>
  </w:style>
  <w:style w:type="character" w:customStyle="1" w:styleId="Heading4Char">
    <w:name w:val="Heading 4 Char"/>
    <w:basedOn w:val="DefaultParagraphFont"/>
    <w:link w:val="Heading4"/>
    <w:uiPriority w:val="1"/>
    <w:rsid w:val="00054227"/>
    <w:rPr>
      <w:rFonts w:ascii="Arial" w:eastAsia="Times New Roman" w:hAnsi="Arial" w:cs="Arial"/>
      <w:b/>
      <w:bCs/>
      <w:iCs/>
      <w:kern w:val="32"/>
      <w:sz w:val="24"/>
      <w:szCs w:val="32"/>
    </w:rPr>
  </w:style>
  <w:style w:type="character" w:customStyle="1" w:styleId="Heading5Char">
    <w:name w:val="Heading 5 Char"/>
    <w:basedOn w:val="DefaultParagraphFont"/>
    <w:link w:val="Heading5"/>
    <w:uiPriority w:val="1"/>
    <w:rsid w:val="00054227"/>
    <w:rPr>
      <w:rFonts w:ascii="Arial" w:eastAsia="Times New Roman" w:hAnsi="Arial" w:cs="Arial"/>
      <w:b/>
      <w:bCs/>
      <w:iCs/>
      <w:kern w:val="32"/>
      <w:sz w:val="24"/>
      <w:szCs w:val="32"/>
    </w:rPr>
  </w:style>
  <w:style w:type="character" w:customStyle="1" w:styleId="Heading6Char">
    <w:name w:val="Heading 6 Char"/>
    <w:basedOn w:val="DefaultParagraphFont"/>
    <w:link w:val="Heading6"/>
    <w:uiPriority w:val="1"/>
    <w:rsid w:val="00054227"/>
    <w:rPr>
      <w:rFonts w:ascii="Arial" w:eastAsia="Times New Roman" w:hAnsi="Arial" w:cs="Arial"/>
      <w:b/>
      <w:iCs/>
      <w:kern w:val="32"/>
      <w:sz w:val="24"/>
      <w:szCs w:val="32"/>
    </w:rPr>
  </w:style>
  <w:style w:type="character" w:customStyle="1" w:styleId="Heading7Char">
    <w:name w:val="Heading 7 Char"/>
    <w:basedOn w:val="DefaultParagraphFont"/>
    <w:link w:val="Heading7"/>
    <w:uiPriority w:val="1"/>
    <w:rsid w:val="00054227"/>
    <w:rPr>
      <w:rFonts w:ascii="Arial" w:eastAsia="Times New Roman" w:hAnsi="Arial" w:cs="Arial"/>
      <w:b/>
      <w:bCs/>
      <w:iCs/>
      <w:kern w:val="32"/>
      <w:sz w:val="24"/>
      <w:szCs w:val="24"/>
    </w:rPr>
  </w:style>
  <w:style w:type="table" w:styleId="TableGrid">
    <w:name w:val="Table Grid"/>
    <w:basedOn w:val="TableNormal"/>
    <w:uiPriority w:val="39"/>
    <w:rsid w:val="00E050F4"/>
    <w:pPr>
      <w:spacing w:after="0" w:line="240" w:lineRule="auto"/>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55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Title">
    <w:name w:val="Title"/>
    <w:basedOn w:val="Normal"/>
    <w:link w:val="TitleChar"/>
    <w:uiPriority w:val="10"/>
    <w:qFormat/>
    <w:rsid w:val="00C41913"/>
    <w:pPr>
      <w:widowControl w:val="0"/>
      <w:autoSpaceDE w:val="0"/>
      <w:autoSpaceDN w:val="0"/>
      <w:spacing w:before="80"/>
      <w:ind w:left="1675" w:right="1595" w:hanging="1"/>
      <w:jc w:val="center"/>
    </w:pPr>
    <w:rPr>
      <w:rFonts w:ascii="Times New Roman" w:eastAsia="Times New Roman" w:hAnsi="Times New Roman" w:cs="Times New Roman"/>
      <w:b/>
      <w:bCs/>
      <w:sz w:val="29"/>
      <w:szCs w:val="29"/>
    </w:rPr>
  </w:style>
  <w:style w:type="character" w:customStyle="1" w:styleId="TitleChar">
    <w:name w:val="Title Char"/>
    <w:basedOn w:val="DefaultParagraphFont"/>
    <w:link w:val="Title"/>
    <w:uiPriority w:val="10"/>
    <w:rsid w:val="00C41913"/>
    <w:rPr>
      <w:rFonts w:ascii="Times New Roman" w:eastAsia="Times New Roman" w:hAnsi="Times New Roman" w:cs="Times New Roman"/>
      <w:b/>
      <w:bCs/>
      <w:sz w:val="29"/>
      <w:szCs w:val="29"/>
    </w:rPr>
  </w:style>
  <w:style w:type="character" w:styleId="UnresolvedMention">
    <w:name w:val="Unresolved Mention"/>
    <w:basedOn w:val="DefaultParagraphFont"/>
    <w:uiPriority w:val="99"/>
    <w:semiHidden/>
    <w:unhideWhenUsed/>
    <w:rsid w:val="00F85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3346">
      <w:bodyDiv w:val="1"/>
      <w:marLeft w:val="0"/>
      <w:marRight w:val="0"/>
      <w:marTop w:val="0"/>
      <w:marBottom w:val="0"/>
      <w:divBdr>
        <w:top w:val="none" w:sz="0" w:space="0" w:color="auto"/>
        <w:left w:val="none" w:sz="0" w:space="0" w:color="auto"/>
        <w:bottom w:val="none" w:sz="0" w:space="0" w:color="auto"/>
        <w:right w:val="none" w:sz="0" w:space="0" w:color="auto"/>
      </w:divBdr>
    </w:div>
    <w:div w:id="626468056">
      <w:bodyDiv w:val="1"/>
      <w:marLeft w:val="0"/>
      <w:marRight w:val="0"/>
      <w:marTop w:val="0"/>
      <w:marBottom w:val="0"/>
      <w:divBdr>
        <w:top w:val="none" w:sz="0" w:space="0" w:color="auto"/>
        <w:left w:val="none" w:sz="0" w:space="0" w:color="auto"/>
        <w:bottom w:val="none" w:sz="0" w:space="0" w:color="auto"/>
        <w:right w:val="none" w:sz="0" w:space="0" w:color="auto"/>
      </w:divBdr>
    </w:div>
    <w:div w:id="920918231">
      <w:bodyDiv w:val="1"/>
      <w:marLeft w:val="0"/>
      <w:marRight w:val="0"/>
      <w:marTop w:val="0"/>
      <w:marBottom w:val="0"/>
      <w:divBdr>
        <w:top w:val="none" w:sz="0" w:space="0" w:color="auto"/>
        <w:left w:val="none" w:sz="0" w:space="0" w:color="auto"/>
        <w:bottom w:val="none" w:sz="0" w:space="0" w:color="auto"/>
        <w:right w:val="none" w:sz="0" w:space="0" w:color="auto"/>
      </w:divBdr>
    </w:div>
    <w:div w:id="1249340887">
      <w:bodyDiv w:val="1"/>
      <w:marLeft w:val="0"/>
      <w:marRight w:val="0"/>
      <w:marTop w:val="0"/>
      <w:marBottom w:val="0"/>
      <w:divBdr>
        <w:top w:val="none" w:sz="0" w:space="0" w:color="auto"/>
        <w:left w:val="none" w:sz="0" w:space="0" w:color="auto"/>
        <w:bottom w:val="none" w:sz="0" w:space="0" w:color="auto"/>
        <w:right w:val="none" w:sz="0" w:space="0" w:color="auto"/>
      </w:divBdr>
    </w:div>
    <w:div w:id="1665090292">
      <w:bodyDiv w:val="1"/>
      <w:marLeft w:val="0"/>
      <w:marRight w:val="0"/>
      <w:marTop w:val="0"/>
      <w:marBottom w:val="0"/>
      <w:divBdr>
        <w:top w:val="none" w:sz="0" w:space="0" w:color="auto"/>
        <w:left w:val="none" w:sz="0" w:space="0" w:color="auto"/>
        <w:bottom w:val="none" w:sz="0" w:space="0" w:color="auto"/>
        <w:right w:val="none" w:sz="0" w:space="0" w:color="auto"/>
      </w:divBdr>
    </w:div>
    <w:div w:id="1698699700">
      <w:bodyDiv w:val="1"/>
      <w:marLeft w:val="0"/>
      <w:marRight w:val="0"/>
      <w:marTop w:val="0"/>
      <w:marBottom w:val="0"/>
      <w:divBdr>
        <w:top w:val="none" w:sz="0" w:space="0" w:color="auto"/>
        <w:left w:val="none" w:sz="0" w:space="0" w:color="auto"/>
        <w:bottom w:val="none" w:sz="0" w:space="0" w:color="auto"/>
        <w:right w:val="none" w:sz="0" w:space="0" w:color="auto"/>
      </w:divBdr>
    </w:div>
    <w:div w:id="1767506315">
      <w:bodyDiv w:val="1"/>
      <w:marLeft w:val="0"/>
      <w:marRight w:val="0"/>
      <w:marTop w:val="0"/>
      <w:marBottom w:val="0"/>
      <w:divBdr>
        <w:top w:val="none" w:sz="0" w:space="0" w:color="auto"/>
        <w:left w:val="none" w:sz="0" w:space="0" w:color="auto"/>
        <w:bottom w:val="none" w:sz="0" w:space="0" w:color="auto"/>
        <w:right w:val="none" w:sz="0" w:space="0" w:color="auto"/>
      </w:divBdr>
    </w:div>
    <w:div w:id="19929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wcounc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rts\Box\Council%20MS%20Office%20Templates\Templates\NWCouncil\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ltrHead.dotx</Template>
  <TotalTime>2</TotalTime>
  <Pages>7</Pages>
  <Words>2137</Words>
  <Characters>12062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Northwest Power and Conservation Council</Company>
  <LinksUpToDate>false</LinksUpToDate>
  <CharactersWithSpaces>14171</CharactersWithSpaces>
  <SharedDoc>false</SharedDoc>
  <HLinks>
    <vt:vector size="12" baseType="variant">
      <vt:variant>
        <vt:i4>5505043</vt:i4>
      </vt:variant>
      <vt:variant>
        <vt:i4>3</vt:i4>
      </vt:variant>
      <vt:variant>
        <vt:i4>0</vt:i4>
      </vt:variant>
      <vt:variant>
        <vt:i4>5</vt:i4>
      </vt:variant>
      <vt:variant>
        <vt:lpwstr>http://www.nwcouncil.org/</vt:lpwstr>
      </vt:variant>
      <vt:variant>
        <vt:lpwstr/>
      </vt:variant>
      <vt:variant>
        <vt:i4>5505043</vt:i4>
      </vt:variant>
      <vt:variant>
        <vt:i4>0</vt:i4>
      </vt:variant>
      <vt:variant>
        <vt:i4>0</vt:i4>
      </vt:variant>
      <vt:variant>
        <vt:i4>5</vt:i4>
      </vt:variant>
      <vt:variant>
        <vt:lpwstr>http://www.nwcouncil.org/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Shurts</dc:creator>
  <cp:lastModifiedBy>Mark Wardrop (mwardrop@spokanebar.org)</cp:lastModifiedBy>
  <cp:revision>2</cp:revision>
  <cp:lastPrinted>2003-07-23T19:20:00Z</cp:lastPrinted>
  <dcterms:created xsi:type="dcterms:W3CDTF">2024-03-13T20:19:00Z</dcterms:created>
  <dcterms:modified xsi:type="dcterms:W3CDTF">2024-03-13T20:19:00Z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6b2c99fc21e39810d735cd89001bf6bff9325eef72580dd6b4a02ec71cc73087</vt:lpwstr>
  </property>
</Properties>
</file>